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Respuesta al riesgo R14</w:t>
      </w:r>
    </w:p>
    <w:p>
      <w:pPr>
        <w:spacing w:after="80"/>
        <w:jc w:val="center"/>
      </w:pPr>
      <w:r>
        <w:rPr>
          <w:b w:val="0"/>
          <w:i w:val="0"/>
          <w:sz w:val="24"/>
        </w:rPr>
        <w:t>Baja de un integrante del equipo · Redistribución y recorte de alcance</w:t>
      </w:r>
    </w:p>
    <w:p>
      <w:pPr>
        <w:spacing w:after="480"/>
      </w:pP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Facultad</w:t>
            </w:r>
          </w:p>
        </w:tc>
        <w:tc>
          <w:tcPr>
            <w:tcW w:type="dxa" w:w="6236"/>
          </w:tcPr>
          <w:p>
            <w:pPr>
              <w:spacing w:after="40"/>
            </w:pPr>
            <w:r/>
            <w:r>
              <w:rPr>
                <w:sz w:val="20"/>
              </w:rPr>
              <w:t>Ingeniería Mecánica y Eléctrica, UANL</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Fecha</w:t>
            </w:r>
          </w:p>
        </w:tc>
        <w:tc>
          <w:tcPr>
            <w:tcW w:type="dxa" w:w="6236"/>
          </w:tcPr>
          <w:p>
            <w:pPr>
              <w:spacing w:after="40"/>
            </w:pPr>
            <w:r/>
            <w:r>
              <w:rPr>
                <w:sz w:val="20"/>
              </w:rPr>
              <w:t>6 de octubre de 2026</w:t>
            </w:r>
          </w:p>
        </w:tc>
      </w:tr>
      <w:tr>
        <w:tc>
          <w:tcPr>
            <w:tcW w:type="dxa" w:w="2551"/>
          </w:tcPr>
          <w:p>
            <w:pPr>
              <w:spacing w:after="40"/>
            </w:pPr>
            <w:r/>
            <w:r>
              <w:rPr>
                <w:sz w:val="20"/>
              </w:rPr>
              <w:t>Riesgo</w:t>
            </w:r>
          </w:p>
        </w:tc>
        <w:tc>
          <w:tcPr>
            <w:tcW w:type="dxa" w:w="6236"/>
          </w:tcPr>
          <w:p>
            <w:pPr>
              <w:spacing w:after="40"/>
            </w:pPr>
            <w:r/>
            <w:r>
              <w:rPr>
                <w:sz w:val="20"/>
              </w:rPr>
              <w:t>R14 — Un integrante abandona el equipo o da de baja la materia</w:t>
            </w:r>
          </w:p>
        </w:tc>
      </w:tr>
      <w:tr>
        <w:tc>
          <w:tcPr>
            <w:tcW w:type="dxa" w:w="2551"/>
          </w:tcPr>
          <w:p>
            <w:pPr>
              <w:spacing w:after="40"/>
            </w:pPr>
            <w:r/>
            <w:r>
              <w:rPr>
                <w:sz w:val="20"/>
              </w:rPr>
              <w:t>Proceso</w:t>
            </w:r>
          </w:p>
        </w:tc>
        <w:tc>
          <w:tcPr>
            <w:tcW w:type="dxa" w:w="6236"/>
          </w:tcPr>
          <w:p>
            <w:pPr>
              <w:spacing w:after="40"/>
            </w:pPr>
            <w:r/>
            <w:r>
              <w:rPr>
                <w:sz w:val="20"/>
              </w:rPr>
              <w:t>PMBOK 11.6 Implementar la Respuesta a los Riesgos</w:t>
            </w:r>
          </w:p>
        </w:tc>
      </w:tr>
    </w:tbl>
    <w:p>
      <w:pPr>
        <w:spacing w:after="40"/>
      </w:pPr>
    </w:p>
    <w:p>
      <w:r>
        <w:br w:type="page"/>
      </w:r>
    </w:p>
    <w:p>
      <w:pPr>
        <w:pStyle w:val="Heading1"/>
      </w:pPr>
      <w:r>
        <w:t>1. El riesgo se materializó</w:t>
      </w:r>
    </w:p>
    <w:p>
      <w:pPr>
        <w:spacing w:after="160"/>
        <w:jc w:val="both"/>
      </w:pPr>
      <w:r>
        <w:rPr>
          <w:b w:val="0"/>
          <w:i w:val="0"/>
        </w:rPr>
        <w:t>El plan de gestión de riesgos del proyecto registra R14 con el disparador «un integrante comunica su baja o deja de presentarse dos semanas seguidas». El disparador se cumplió: Benjamín Ignacio Villalón Bobadilla lleva más de dos semanas sin presentarse y no ha comunicado su situación.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268"/>
          </w:tcPr>
          <w:p>
            <w:pPr>
              <w:spacing w:after="40"/>
              <w:jc w:val="center"/>
            </w:pPr>
            <w:r/>
            <w:r>
              <w:rPr>
                <w:b/>
                <w:sz w:val="17"/>
              </w:rPr>
              <w:t>Campo</w:t>
            </w:r>
          </w:p>
        </w:tc>
        <w:tc>
          <w:tcPr>
            <w:tcW w:type="dxa" w:w="3175"/>
          </w:tcPr>
          <w:p>
            <w:pPr>
              <w:spacing w:after="40"/>
              <w:jc w:val="center"/>
            </w:pPr>
            <w:r/>
            <w:r>
              <w:rPr>
                <w:b/>
                <w:sz w:val="17"/>
              </w:rPr>
              <w:t>Lo previsto en el plan</w:t>
            </w:r>
          </w:p>
        </w:tc>
        <w:tc>
          <w:tcPr>
            <w:tcW w:type="dxa" w:w="3628"/>
          </w:tcPr>
          <w:p>
            <w:pPr>
              <w:spacing w:after="40"/>
              <w:jc w:val="center"/>
            </w:pPr>
            <w:r/>
            <w:r>
              <w:rPr>
                <w:b/>
                <w:sz w:val="17"/>
              </w:rPr>
              <w:t>Lo observado</w:t>
            </w:r>
          </w:p>
        </w:tc>
      </w:tr>
      <w:tr>
        <w:tc>
          <w:tcPr>
            <w:tcW w:type="dxa" w:w="2268"/>
          </w:tcPr>
          <w:p>
            <w:pPr>
              <w:spacing w:after="40"/>
            </w:pPr>
            <w:r/>
            <w:r>
              <w:rPr>
                <w:sz w:val="17"/>
              </w:rPr>
              <w:t>Probabilidad</w:t>
            </w:r>
          </w:p>
        </w:tc>
        <w:tc>
          <w:tcPr>
            <w:tcW w:type="dxa" w:w="3175"/>
          </w:tcPr>
          <w:p>
            <w:pPr>
              <w:spacing w:after="40"/>
            </w:pPr>
            <w:r/>
            <w:r>
              <w:rPr>
                <w:sz w:val="17"/>
              </w:rPr>
              <w:t>15 %</w:t>
            </w:r>
          </w:p>
        </w:tc>
        <w:tc>
          <w:tcPr>
            <w:tcW w:type="dxa" w:w="3628"/>
          </w:tcPr>
          <w:p>
            <w:pPr>
              <w:spacing w:after="40"/>
            </w:pPr>
            <w:r/>
            <w:r>
              <w:rPr>
                <w:sz w:val="17"/>
              </w:rPr>
              <w:t>Ocurrió</w:t>
            </w:r>
          </w:p>
        </w:tc>
      </w:tr>
      <w:tr>
        <w:tc>
          <w:tcPr>
            <w:tcW w:type="dxa" w:w="2268"/>
          </w:tcPr>
          <w:p>
            <w:pPr>
              <w:spacing w:after="40"/>
            </w:pPr>
            <w:r/>
            <w:r>
              <w:rPr>
                <w:sz w:val="17"/>
              </w:rPr>
              <w:t>Impacto estimado</w:t>
            </w:r>
          </w:p>
        </w:tc>
        <w:tc>
          <w:tcPr>
            <w:tcW w:type="dxa" w:w="3175"/>
          </w:tcPr>
          <w:p>
            <w:pPr>
              <w:spacing w:after="40"/>
            </w:pPr>
            <w:r/>
            <w:r>
              <w:rPr>
                <w:sz w:val="17"/>
              </w:rPr>
              <w:t>6.0 días hábiles</w:t>
            </w:r>
          </w:p>
        </w:tc>
        <w:tc>
          <w:tcPr>
            <w:tcW w:type="dxa" w:w="3628"/>
          </w:tcPr>
          <w:p>
            <w:pPr>
              <w:spacing w:after="40"/>
            </w:pPr>
            <w:r/>
            <w:r>
              <w:rPr>
                <w:sz w:val="17"/>
              </w:rPr>
              <w:t>38 actividades sin responsable</w:t>
            </w:r>
          </w:p>
        </w:tc>
      </w:tr>
      <w:tr>
        <w:tc>
          <w:tcPr>
            <w:tcW w:type="dxa" w:w="2268"/>
          </w:tcPr>
          <w:p>
            <w:pPr>
              <w:spacing w:after="40"/>
            </w:pPr>
            <w:r/>
            <w:r>
              <w:rPr>
                <w:sz w:val="17"/>
              </w:rPr>
              <w:t>Estrategia</w:t>
            </w:r>
          </w:p>
        </w:tc>
        <w:tc>
          <w:tcPr>
            <w:tcW w:type="dxa" w:w="3175"/>
          </w:tcPr>
          <w:p>
            <w:pPr>
              <w:spacing w:after="40"/>
            </w:pPr>
            <w:r/>
            <w:r>
              <w:rPr>
                <w:sz w:val="17"/>
              </w:rPr>
              <w:t>Mitigar</w:t>
            </w:r>
          </w:p>
        </w:tc>
        <w:tc>
          <w:tcPr>
            <w:tcW w:type="dxa" w:w="3628"/>
          </w:tcPr>
          <w:p>
            <w:pPr>
              <w:spacing w:after="40"/>
            </w:pPr>
            <w:r/>
            <w:r>
              <w:rPr>
                <w:sz w:val="17"/>
              </w:rPr>
              <w:t>Se aplica: redistribuir y recortar</w:t>
            </w:r>
          </w:p>
        </w:tc>
      </w:tr>
      <w:tr>
        <w:tc>
          <w:tcPr>
            <w:tcW w:type="dxa" w:w="2268"/>
          </w:tcPr>
          <w:p>
            <w:pPr>
              <w:spacing w:after="40"/>
            </w:pPr>
            <w:r/>
            <w:r>
              <w:rPr>
                <w:sz w:val="17"/>
              </w:rPr>
              <w:t>Responsable del riesgo</w:t>
            </w:r>
          </w:p>
        </w:tc>
        <w:tc>
          <w:tcPr>
            <w:tcW w:type="dxa" w:w="3175"/>
          </w:tcPr>
          <w:p>
            <w:pPr>
              <w:spacing w:after="40"/>
            </w:pPr>
            <w:r/>
            <w:r>
              <w:rPr>
                <w:sz w:val="17"/>
              </w:rPr>
              <w:t>Benjamín</w:t>
            </w:r>
          </w:p>
        </w:tc>
        <w:tc>
          <w:tcPr>
            <w:tcW w:type="dxa" w:w="3628"/>
          </w:tcPr>
          <w:p>
            <w:pPr>
              <w:spacing w:after="40"/>
            </w:pPr>
            <w:r/>
            <w:r>
              <w:rPr>
                <w:sz w:val="17"/>
              </w:rPr>
              <w:t>El responsable designado es el integrante que causó el riesgo. Se reasigna en la sección 2.</w:t>
            </w:r>
          </w:p>
        </w:tc>
      </w:tr>
      <w:tr>
        <w:tc>
          <w:tcPr>
            <w:tcW w:type="dxa" w:w="2268"/>
          </w:tcPr>
          <w:p>
            <w:pPr>
              <w:spacing w:after="40"/>
            </w:pPr>
            <w:r/>
            <w:r>
              <w:rPr>
                <w:sz w:val="17"/>
              </w:rPr>
              <w:t>Segundo conocedor del área</w:t>
            </w:r>
          </w:p>
        </w:tc>
        <w:tc>
          <w:tcPr>
            <w:tcW w:type="dxa" w:w="3175"/>
          </w:tcPr>
          <w:p>
            <w:pPr>
              <w:spacing w:after="40"/>
            </w:pPr>
            <w:r/>
            <w:r>
              <w:rPr>
                <w:sz w:val="17"/>
              </w:rPr>
              <w:t>«Cada área tiene un segundo conocedor designado»</w:t>
            </w:r>
          </w:p>
        </w:tc>
        <w:tc>
          <w:tcPr>
            <w:tcW w:type="dxa" w:w="3628"/>
          </w:tcPr>
          <w:p>
            <w:pPr>
              <w:spacing w:after="40"/>
            </w:pPr>
            <w:r/>
            <w:r>
              <w:rPr>
                <w:sz w:val="17"/>
              </w:rPr>
              <w:t>Nunca se designó. Se corrige en la sección 4.</w:t>
            </w:r>
          </w:p>
        </w:tc>
      </w:tr>
    </w:tbl>
    <w:p>
      <w:pPr>
        <w:spacing w:after="40"/>
      </w:pPr>
    </w:p>
    <w:p>
      <w:pPr>
        <w:spacing w:after="160"/>
        <w:jc w:val="both"/>
      </w:pPr>
      <w:r>
        <w:rPr>
          <w:b w:val="0"/>
          <w:i/>
        </w:rPr>
        <w:t>Se documentan los dos defectos del plan en lugar de corregirlos en silencio: un registro de riesgos cuyo dueño es la propia fuente del riesgo, y una respuesta que da por existente una designación que nunca se hizo. Ambos se subsanan en este documento.</w:t>
      </w:r>
    </w:p>
    <w:p>
      <w:pPr>
        <w:pStyle w:val="Heading1"/>
      </w:pPr>
      <w:r>
        <w:t>2. Reasignación de responsabilidades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041"/>
          </w:tcPr>
          <w:p>
            <w:pPr>
              <w:spacing w:after="40"/>
              <w:jc w:val="center"/>
            </w:pPr>
            <w:r/>
            <w:r>
              <w:rPr>
                <w:b/>
                <w:sz w:val="17"/>
              </w:rPr>
              <w:t>Función</w:t>
            </w:r>
          </w:p>
        </w:tc>
        <w:tc>
          <w:tcPr>
            <w:tcW w:type="dxa" w:w="1474"/>
          </w:tcPr>
          <w:p>
            <w:pPr>
              <w:spacing w:after="40"/>
              <w:jc w:val="center"/>
            </w:pPr>
            <w:r/>
            <w:r>
              <w:rPr>
                <w:b/>
                <w:sz w:val="17"/>
              </w:rPr>
              <w:t>Antes</w:t>
            </w:r>
          </w:p>
        </w:tc>
        <w:tc>
          <w:tcPr>
            <w:tcW w:type="dxa" w:w="2381"/>
          </w:tcPr>
          <w:p>
            <w:pPr>
              <w:spacing w:after="40"/>
              <w:jc w:val="center"/>
            </w:pPr>
            <w:r/>
            <w:r>
              <w:rPr>
                <w:b/>
                <w:sz w:val="17"/>
              </w:rPr>
              <w:t>Ahora</w:t>
            </w:r>
          </w:p>
        </w:tc>
        <w:tc>
          <w:tcPr>
            <w:tcW w:type="dxa" w:w="3175"/>
          </w:tcPr>
          <w:p>
            <w:pPr>
              <w:spacing w:after="40"/>
              <w:jc w:val="center"/>
            </w:pPr>
            <w:r/>
            <w:r>
              <w:rPr>
                <w:b/>
                <w:sz w:val="17"/>
              </w:rPr>
              <w:t>Razón</w:t>
            </w:r>
          </w:p>
        </w:tc>
      </w:tr>
      <w:tr>
        <w:tc>
          <w:tcPr>
            <w:tcW w:type="dxa" w:w="2041"/>
          </w:tcPr>
          <w:p>
            <w:pPr>
              <w:spacing w:after="40"/>
            </w:pPr>
            <w:r/>
            <w:r>
              <w:rPr>
                <w:sz w:val="17"/>
              </w:rPr>
              <w:t>Dirección de proyecto</w:t>
            </w:r>
          </w:p>
        </w:tc>
        <w:tc>
          <w:tcPr>
            <w:tcW w:type="dxa" w:w="1474"/>
          </w:tcPr>
          <w:p>
            <w:pPr>
              <w:spacing w:after="40"/>
            </w:pPr>
            <w:r/>
            <w:r>
              <w:rPr>
                <w:sz w:val="17"/>
              </w:rPr>
              <w:t>Benjamín</w:t>
            </w:r>
          </w:p>
        </w:tc>
        <w:tc>
          <w:tcPr>
            <w:tcW w:type="dxa" w:w="2381"/>
          </w:tcPr>
          <w:p>
            <w:pPr>
              <w:spacing w:after="40"/>
            </w:pPr>
            <w:r/>
            <w:r>
              <w:rPr>
                <w:sz w:val="17"/>
              </w:rPr>
              <w:t>Sarai Galindo García</w:t>
            </w:r>
          </w:p>
        </w:tc>
        <w:tc>
          <w:tcPr>
            <w:tcW w:type="dxa" w:w="3175"/>
          </w:tcPr>
          <w:p>
            <w:pPr>
              <w:spacing w:after="40"/>
            </w:pPr>
            <w:r/>
            <w:r>
              <w:rPr>
                <w:sz w:val="17"/>
              </w:rPr>
              <w:t>La coordinación ya concentra la comunicación del equipo.</w:t>
            </w:r>
          </w:p>
        </w:tc>
      </w:tr>
      <w:tr>
        <w:tc>
          <w:tcPr>
            <w:tcW w:type="dxa" w:w="2041"/>
          </w:tcPr>
          <w:p>
            <w:pPr>
              <w:spacing w:after="40"/>
            </w:pPr>
            <w:r/>
            <w:r>
              <w:rPr>
                <w:sz w:val="17"/>
              </w:rPr>
              <w:t>Área Juego de ritmo</w:t>
            </w:r>
          </w:p>
        </w:tc>
        <w:tc>
          <w:tcPr>
            <w:tcW w:type="dxa" w:w="1474"/>
          </w:tcPr>
          <w:p>
            <w:pPr>
              <w:spacing w:after="40"/>
            </w:pPr>
            <w:r/>
            <w:r>
              <w:rPr>
                <w:sz w:val="17"/>
              </w:rPr>
              <w:t>Benjamín</w:t>
            </w:r>
          </w:p>
        </w:tc>
        <w:tc>
          <w:tcPr>
            <w:tcW w:type="dxa" w:w="2381"/>
          </w:tcPr>
          <w:p>
            <w:pPr>
              <w:spacing w:after="40"/>
            </w:pPr>
            <w:r/>
            <w:r>
              <w:rPr>
                <w:sz w:val="17"/>
              </w:rPr>
              <w:t>Abiud Misael Benítez Franco</w:t>
            </w:r>
          </w:p>
        </w:tc>
        <w:tc>
          <w:tcPr>
            <w:tcW w:type="dxa" w:w="3175"/>
          </w:tcPr>
          <w:p>
            <w:pPr>
              <w:spacing w:after="40"/>
            </w:pPr>
            <w:r/>
            <w:r>
              <w:rPr>
                <w:sz w:val="17"/>
              </w:rPr>
              <w:t>El juego se monta sobre el evento DrumHit, que es del área de desarrollo VR y ya está construido.</w:t>
            </w:r>
          </w:p>
        </w:tc>
      </w:tr>
      <w:tr>
        <w:tc>
          <w:tcPr>
            <w:tcW w:type="dxa" w:w="2041"/>
          </w:tcPr>
          <w:p>
            <w:pPr>
              <w:spacing w:after="40"/>
            </w:pPr>
            <w:r/>
            <w:r>
              <w:rPr>
                <w:sz w:val="17"/>
              </w:rPr>
              <w:t>Responsable del riesgo R14</w:t>
            </w:r>
          </w:p>
        </w:tc>
        <w:tc>
          <w:tcPr>
            <w:tcW w:type="dxa" w:w="1474"/>
          </w:tcPr>
          <w:p>
            <w:pPr>
              <w:spacing w:after="40"/>
            </w:pPr>
            <w:r/>
            <w:r>
              <w:rPr>
                <w:sz w:val="17"/>
              </w:rPr>
              <w:t>Benjamín</w:t>
            </w:r>
          </w:p>
        </w:tc>
        <w:tc>
          <w:tcPr>
            <w:tcW w:type="dxa" w:w="2381"/>
          </w:tcPr>
          <w:p>
            <w:pPr>
              <w:spacing w:after="40"/>
            </w:pPr>
            <w:r/>
            <w:r>
              <w:rPr>
                <w:sz w:val="17"/>
              </w:rPr>
              <w:t>Sarai Galindo García</w:t>
            </w:r>
          </w:p>
        </w:tc>
        <w:tc>
          <w:tcPr>
            <w:tcW w:type="dxa" w:w="3175"/>
          </w:tcPr>
          <w:p>
            <w:pPr>
              <w:spacing w:after="40"/>
            </w:pPr>
            <w:r/>
            <w:r>
              <w:rPr>
                <w:sz w:val="17"/>
              </w:rPr>
              <w:t>Un riesgo de equipo corresponde a quien coordina el equipo.</w:t>
            </w:r>
          </w:p>
        </w:tc>
      </w:tr>
    </w:tbl>
    <w:p>
      <w:pPr>
        <w:spacing w:after="40"/>
      </w:pPr>
    </w:p>
    <w:p>
      <w:pPr>
        <w:pStyle w:val="Heading1"/>
      </w:pPr>
      <w:r>
        <w:t>3. Recorte de alcance del juego de ritmo</w:t>
      </w:r>
    </w:p>
    <w:p>
      <w:pPr>
        <w:spacing w:after="160"/>
        <w:jc w:val="both"/>
      </w:pPr>
      <w:r>
        <w:rPr>
          <w:b w:val="0"/>
          <w:i w:val="0"/>
        </w:rPr>
        <w:t>El plan de respuesta de R14 indica redistribuir el trabajo restante y recortar el alcance secundario del área afectada. Se hacen las dos cosas: redistribuir sin recortar trasladaría 38 actividades a una persona que dispone de 18 días hábiles.</w:t>
      </w:r>
    </w:p>
    <w:p>
      <w:pPr>
        <w:spacing w:after="160"/>
        <w:jc w:val="both"/>
      </w:pPr>
      <w:r>
        <w:rPr>
          <w:b w:val="0"/>
          <w:i w:val="0"/>
        </w:rPr>
        <w:t>El criterio del recorte no es qué cabe en el tiempo disponible, sino qué es lo mínimo que demuestra que el juego de ritmo existe y funciona. Un juego sin niveles de dificultad sigue siendo un juego de ritmo; sin reloj musical ni ventanas de precisión no es nada.</w:t>
      </w:r>
    </w:p>
    <w:p>
      <w:pPr>
        <w:pStyle w:val="Heading2"/>
      </w:pPr>
      <w:r>
        <w:t>3.1 Se conserva</w:t>
      </w:r>
    </w:p>
    <w:tbl>
      <w:tblPr>
        <w:tblStyle w:val="TableGrid"/>
        <w:tblW w:type="auto" w:w="0"/>
        <w:jc w:val="center"/>
        <w:tblLayout w:type="fixed"/>
        <w:tblLook w:firstColumn="1" w:firstRow="1" w:lastColumn="0" w:lastRow="0" w:noHBand="0" w:noVBand="1" w:val="04A0"/>
      </w:tblPr>
      <w:tblGrid>
        <w:gridCol w:w="4703"/>
        <w:gridCol w:w="4703"/>
      </w:tblGrid>
      <w:tr>
        <w:tc>
          <w:tcPr>
            <w:tcW w:type="dxa" w:w="1361"/>
          </w:tcPr>
          <w:p>
            <w:pPr>
              <w:spacing w:after="40"/>
              <w:jc w:val="center"/>
            </w:pPr>
            <w:r/>
            <w:r>
              <w:rPr>
                <w:b/>
                <w:sz w:val="17"/>
              </w:rPr>
              <w:t>Clave</w:t>
            </w:r>
          </w:p>
        </w:tc>
        <w:tc>
          <w:tcPr>
            <w:tcW w:type="dxa" w:w="7710"/>
          </w:tcPr>
          <w:p>
            <w:pPr>
              <w:spacing w:after="40"/>
              <w:jc w:val="center"/>
            </w:pPr>
            <w:r/>
            <w:r>
              <w:rPr>
                <w:b/>
                <w:sz w:val="17"/>
              </w:rPr>
              <w:t>Actividad</w:t>
            </w:r>
          </w:p>
        </w:tc>
      </w:tr>
      <w:tr>
        <w:tc>
          <w:tcPr>
            <w:tcW w:type="dxa" w:w="1361"/>
          </w:tcPr>
          <w:p>
            <w:pPr>
              <w:spacing w:after="40"/>
            </w:pPr>
            <w:r/>
            <w:r>
              <w:rPr>
                <w:sz w:val="17"/>
              </w:rPr>
              <w:t>JT.1</w:t>
            </w:r>
          </w:p>
        </w:tc>
        <w:tc>
          <w:tcPr>
            <w:tcW w:type="dxa" w:w="7710"/>
          </w:tcPr>
          <w:p>
            <w:pPr>
              <w:spacing w:after="40"/>
            </w:pPr>
            <w:r/>
            <w:r>
              <w:rPr>
                <w:sz w:val="17"/>
              </w:rPr>
              <w:t>Reloj musical independiente de los FPS</w:t>
            </w:r>
          </w:p>
        </w:tc>
      </w:tr>
      <w:tr>
        <w:tc>
          <w:tcPr>
            <w:tcW w:type="dxa" w:w="1361"/>
          </w:tcPr>
          <w:p>
            <w:pPr>
              <w:spacing w:after="40"/>
            </w:pPr>
            <w:r/>
            <w:r>
              <w:rPr>
                <w:sz w:val="17"/>
              </w:rPr>
              <w:t>JT.2</w:t>
            </w:r>
          </w:p>
        </w:tc>
        <w:tc>
          <w:tcPr>
            <w:tcW w:type="dxa" w:w="7710"/>
          </w:tcPr>
          <w:p>
            <w:pPr>
              <w:spacing w:after="40"/>
            </w:pPr>
            <w:r/>
            <w:r>
              <w:rPr>
                <w:sz w:val="17"/>
              </w:rPr>
              <w:t>Cálculo de BPM y duración de cada beat</w:t>
            </w:r>
          </w:p>
        </w:tc>
      </w:tr>
      <w:tr>
        <w:tc>
          <w:tcPr>
            <w:tcW w:type="dxa" w:w="1361"/>
          </w:tcPr>
          <w:p>
            <w:pPr>
              <w:spacing w:after="40"/>
            </w:pPr>
            <w:r/>
            <w:r>
              <w:rPr>
                <w:sz w:val="17"/>
              </w:rPr>
              <w:t>JA.2</w:t>
            </w:r>
          </w:p>
        </w:tc>
        <w:tc>
          <w:tcPr>
            <w:tcW w:type="dxa" w:w="7710"/>
          </w:tcPr>
          <w:p>
            <w:pPr>
              <w:spacing w:after="40"/>
            </w:pPr>
            <w:r/>
            <w:r>
              <w:rPr>
                <w:sz w:val="17"/>
              </w:rPr>
              <w:t>Datos para representar una nota musical</w:t>
            </w:r>
          </w:p>
        </w:tc>
      </w:tr>
      <w:tr>
        <w:tc>
          <w:tcPr>
            <w:tcW w:type="dxa" w:w="1361"/>
          </w:tcPr>
          <w:p>
            <w:pPr>
              <w:spacing w:after="40"/>
            </w:pPr>
            <w:r/>
            <w:r>
              <w:rPr>
                <w:sz w:val="17"/>
              </w:rPr>
              <w:t>JA.3</w:t>
            </w:r>
          </w:p>
        </w:tc>
        <w:tc>
          <w:tcPr>
            <w:tcW w:type="dxa" w:w="7710"/>
          </w:tcPr>
          <w:p>
            <w:pPr>
              <w:spacing w:after="40"/>
            </w:pPr>
            <w:r/>
            <w:r>
              <w:rPr>
                <w:sz w:val="17"/>
              </w:rPr>
              <w:t>Estructura de datos de canciones y beatmaps</w:t>
            </w:r>
          </w:p>
        </w:tc>
      </w:tr>
      <w:tr>
        <w:tc>
          <w:tcPr>
            <w:tcW w:type="dxa" w:w="1361"/>
          </w:tcPr>
          <w:p>
            <w:pPr>
              <w:spacing w:after="40"/>
            </w:pPr>
            <w:r/>
            <w:r>
              <w:rPr>
                <w:sz w:val="17"/>
              </w:rPr>
              <w:t>JB.1</w:t>
            </w:r>
          </w:p>
        </w:tc>
        <w:tc>
          <w:tcPr>
            <w:tcW w:type="dxa" w:w="7710"/>
          </w:tcPr>
          <w:p>
            <w:pPr>
              <w:spacing w:after="40"/>
            </w:pPr>
            <w:r/>
            <w:r>
              <w:rPr>
                <w:sz w:val="17"/>
              </w:rPr>
              <w:t>Prototipo de beatmap manual</w:t>
            </w:r>
          </w:p>
        </w:tc>
      </w:tr>
      <w:tr>
        <w:tc>
          <w:tcPr>
            <w:tcW w:type="dxa" w:w="1361"/>
          </w:tcPr>
          <w:p>
            <w:pPr>
              <w:spacing w:after="40"/>
            </w:pPr>
            <w:r/>
            <w:r>
              <w:rPr>
                <w:sz w:val="17"/>
              </w:rPr>
              <w:t>JB.2</w:t>
            </w:r>
          </w:p>
        </w:tc>
        <w:tc>
          <w:tcPr>
            <w:tcW w:type="dxa" w:w="7710"/>
          </w:tcPr>
          <w:p>
            <w:pPr>
              <w:spacing w:after="40"/>
            </w:pPr>
            <w:r/>
            <w:r>
              <w:rPr>
                <w:sz w:val="17"/>
              </w:rPr>
              <w:t>Sistema que carga un beatmap</w:t>
            </w:r>
          </w:p>
        </w:tc>
      </w:tr>
      <w:tr>
        <w:tc>
          <w:tcPr>
            <w:tcW w:type="dxa" w:w="1361"/>
          </w:tcPr>
          <w:p>
            <w:pPr>
              <w:spacing w:after="40"/>
            </w:pPr>
            <w:r/>
            <w:r>
              <w:rPr>
                <w:sz w:val="17"/>
              </w:rPr>
              <w:t>JB.3</w:t>
            </w:r>
          </w:p>
        </w:tc>
        <w:tc>
          <w:tcPr>
            <w:tcW w:type="dxa" w:w="7710"/>
          </w:tcPr>
          <w:p>
            <w:pPr>
              <w:spacing w:after="40"/>
            </w:pPr>
            <w:r/>
            <w:r>
              <w:rPr>
                <w:sz w:val="17"/>
              </w:rPr>
              <w:t>Sincronizar beatmap con la música</w:t>
            </w:r>
          </w:p>
        </w:tc>
      </w:tr>
      <w:tr>
        <w:tc>
          <w:tcPr>
            <w:tcW w:type="dxa" w:w="1361"/>
          </w:tcPr>
          <w:p>
            <w:pPr>
              <w:spacing w:after="40"/>
            </w:pPr>
            <w:r/>
            <w:r>
              <w:rPr>
                <w:sz w:val="17"/>
              </w:rPr>
              <w:t>JN.1</w:t>
            </w:r>
          </w:p>
        </w:tc>
        <w:tc>
          <w:tcPr>
            <w:tcW w:type="dxa" w:w="7710"/>
          </w:tcPr>
          <w:p>
            <w:pPr>
              <w:spacing w:after="40"/>
            </w:pPr>
            <w:r/>
            <w:r>
              <w:rPr>
                <w:sz w:val="17"/>
              </w:rPr>
              <w:t>Representación visual de las notas</w:t>
            </w:r>
          </w:p>
        </w:tc>
      </w:tr>
      <w:tr>
        <w:tc>
          <w:tcPr>
            <w:tcW w:type="dxa" w:w="1361"/>
          </w:tcPr>
          <w:p>
            <w:pPr>
              <w:spacing w:after="40"/>
            </w:pPr>
            <w:r/>
            <w:r>
              <w:rPr>
                <w:sz w:val="17"/>
              </w:rPr>
              <w:t>JN.2</w:t>
            </w:r>
          </w:p>
        </w:tc>
        <w:tc>
          <w:tcPr>
            <w:tcW w:type="dxa" w:w="7710"/>
          </w:tcPr>
          <w:p>
            <w:pPr>
              <w:spacing w:after="40"/>
            </w:pPr>
            <w:r/>
            <w:r>
              <w:rPr>
                <w:sz w:val="17"/>
              </w:rPr>
              <w:t>Indicar qué componente debe golpearse</w:t>
            </w:r>
          </w:p>
        </w:tc>
      </w:tr>
      <w:tr>
        <w:tc>
          <w:tcPr>
            <w:tcW w:type="dxa" w:w="1361"/>
          </w:tcPr>
          <w:p>
            <w:pPr>
              <w:spacing w:after="40"/>
            </w:pPr>
            <w:r/>
            <w:r>
              <w:rPr>
                <w:sz w:val="17"/>
              </w:rPr>
              <w:t>JW.1</w:t>
            </w:r>
          </w:p>
        </w:tc>
        <w:tc>
          <w:tcPr>
            <w:tcW w:type="dxa" w:w="7710"/>
          </w:tcPr>
          <w:p>
            <w:pPr>
              <w:spacing w:after="40"/>
            </w:pPr>
            <w:r/>
            <w:r>
              <w:rPr>
                <w:sz w:val="17"/>
              </w:rPr>
              <w:t>Ventanas temporales Perfect, Good y Miss</w:t>
            </w:r>
          </w:p>
        </w:tc>
      </w:tr>
      <w:tr>
        <w:tc>
          <w:tcPr>
            <w:tcW w:type="dxa" w:w="1361"/>
          </w:tcPr>
          <w:p>
            <w:pPr>
              <w:spacing w:after="40"/>
            </w:pPr>
            <w:r/>
            <w:r>
              <w:rPr>
                <w:sz w:val="17"/>
              </w:rPr>
              <w:t>JW.2</w:t>
            </w:r>
          </w:p>
        </w:tc>
        <w:tc>
          <w:tcPr>
            <w:tcW w:type="dxa" w:w="7710"/>
          </w:tcPr>
          <w:p>
            <w:pPr>
              <w:spacing w:after="40"/>
            </w:pPr>
            <w:r/>
            <w:r>
              <w:rPr>
                <w:sz w:val="17"/>
              </w:rPr>
              <w:t>Detección de golpes correctos</w:t>
            </w:r>
          </w:p>
        </w:tc>
      </w:tr>
      <w:tr>
        <w:tc>
          <w:tcPr>
            <w:tcW w:type="dxa" w:w="1361"/>
          </w:tcPr>
          <w:p>
            <w:pPr>
              <w:spacing w:after="40"/>
            </w:pPr>
            <w:r/>
            <w:r>
              <w:rPr>
                <w:sz w:val="17"/>
              </w:rPr>
              <w:t>JW.5</w:t>
            </w:r>
          </w:p>
        </w:tc>
        <w:tc>
          <w:tcPr>
            <w:tcW w:type="dxa" w:w="7710"/>
          </w:tcPr>
          <w:p>
            <w:pPr>
              <w:spacing w:after="40"/>
            </w:pPr>
            <w:r/>
            <w:r>
              <w:rPr>
                <w:sz w:val="17"/>
              </w:rPr>
              <w:t>Detección de notas no golpeadas</w:t>
            </w:r>
          </w:p>
        </w:tc>
      </w:tr>
      <w:tr>
        <w:tc>
          <w:tcPr>
            <w:tcW w:type="dxa" w:w="1361"/>
          </w:tcPr>
          <w:p>
            <w:pPr>
              <w:spacing w:after="40"/>
            </w:pPr>
            <w:r/>
            <w:r>
              <w:rPr>
                <w:sz w:val="17"/>
              </w:rPr>
              <w:t>JP.1</w:t>
            </w:r>
          </w:p>
        </w:tc>
        <w:tc>
          <w:tcPr>
            <w:tcW w:type="dxa" w:w="7710"/>
          </w:tcPr>
          <w:p>
            <w:pPr>
              <w:spacing w:after="40"/>
            </w:pPr>
            <w:r/>
            <w:r>
              <w:rPr>
                <w:sz w:val="17"/>
              </w:rPr>
              <w:t>Sistema básico de puntuación</w:t>
            </w:r>
          </w:p>
        </w:tc>
      </w:tr>
      <w:tr>
        <w:tc>
          <w:tcPr>
            <w:tcW w:type="dxa" w:w="1361"/>
          </w:tcPr>
          <w:p>
            <w:pPr>
              <w:spacing w:after="40"/>
            </w:pPr>
            <w:r/>
            <w:r>
              <w:rPr>
                <w:sz w:val="17"/>
              </w:rPr>
              <w:t>JP.3</w:t>
            </w:r>
          </w:p>
        </w:tc>
        <w:tc>
          <w:tcPr>
            <w:tcW w:type="dxa" w:w="7710"/>
          </w:tcPr>
          <w:p>
            <w:pPr>
              <w:spacing w:after="40"/>
            </w:pPr>
            <w:r/>
            <w:r>
              <w:rPr>
                <w:sz w:val="17"/>
              </w:rPr>
              <w:t>Cálculo de precisión porcentual</w:t>
            </w:r>
          </w:p>
        </w:tc>
      </w:tr>
      <w:tr>
        <w:tc>
          <w:tcPr>
            <w:tcW w:type="dxa" w:w="1361"/>
          </w:tcPr>
          <w:p>
            <w:pPr>
              <w:spacing w:after="40"/>
            </w:pPr>
            <w:r/>
            <w:r>
              <w:rPr>
                <w:sz w:val="17"/>
              </w:rPr>
              <w:t>JI.1</w:t>
            </w:r>
          </w:p>
        </w:tc>
        <w:tc>
          <w:tcPr>
            <w:tcW w:type="dxa" w:w="7710"/>
          </w:tcPr>
          <w:p>
            <w:pPr>
              <w:spacing w:after="40"/>
            </w:pPr>
            <w:r/>
            <w:r>
              <w:rPr>
                <w:sz w:val="17"/>
              </w:rPr>
              <w:t>Integrar el evento DrumHit con el juego</w:t>
            </w:r>
          </w:p>
        </w:tc>
      </w:tr>
    </w:tbl>
    <w:p>
      <w:pPr>
        <w:spacing w:after="40"/>
      </w:pPr>
    </w:p>
    <w:p>
      <w:pPr>
        <w:spacing w:after="160"/>
        <w:jc w:val="both"/>
      </w:pPr>
      <w:r>
        <w:rPr>
          <w:b w:val="0"/>
          <w:i w:val="0"/>
        </w:rPr>
        <w:t>Total conservado: 15 actividades.</w:t>
      </w:r>
    </w:p>
    <w:p>
      <w:pPr>
        <w:pStyle w:val="Heading2"/>
      </w:pPr>
      <w:r>
        <w:t>3.2 Se recorta, con su justificación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474"/>
          </w:tcPr>
          <w:p>
            <w:pPr>
              <w:spacing w:after="40"/>
              <w:jc w:val="center"/>
            </w:pPr>
            <w:r/>
            <w:r>
              <w:rPr>
                <w:b/>
                <w:sz w:val="16"/>
              </w:rPr>
              <w:t>Claves</w:t>
            </w:r>
          </w:p>
        </w:tc>
        <w:tc>
          <w:tcPr>
            <w:tcW w:type="dxa" w:w="2494"/>
          </w:tcPr>
          <w:p>
            <w:pPr>
              <w:spacing w:after="40"/>
              <w:jc w:val="center"/>
            </w:pPr>
            <w:r/>
            <w:r>
              <w:rPr>
                <w:b/>
                <w:sz w:val="16"/>
              </w:rPr>
              <w:t>Actividad</w:t>
            </w:r>
          </w:p>
        </w:tc>
        <w:tc>
          <w:tcPr>
            <w:tcW w:type="dxa" w:w="5102"/>
          </w:tcPr>
          <w:p>
            <w:pPr>
              <w:spacing w:after="40"/>
              <w:jc w:val="center"/>
            </w:pPr>
            <w:r/>
            <w:r>
              <w:rPr>
                <w:b/>
                <w:sz w:val="16"/>
              </w:rPr>
              <w:t>Por qué se recorta</w:t>
            </w:r>
          </w:p>
        </w:tc>
      </w:tr>
      <w:tr>
        <w:tc>
          <w:tcPr>
            <w:tcW w:type="dxa" w:w="1474"/>
          </w:tcPr>
          <w:p>
            <w:pPr>
              <w:spacing w:after="40"/>
            </w:pPr>
            <w:r/>
            <w:r>
              <w:rPr>
                <w:sz w:val="16"/>
              </w:rPr>
              <w:t>JL.1 JL.2</w:t>
            </w:r>
          </w:p>
        </w:tc>
        <w:tc>
          <w:tcPr>
            <w:tcW w:type="dxa" w:w="2494"/>
          </w:tcPr>
          <w:p>
            <w:pPr>
              <w:spacing w:after="40"/>
            </w:pPr>
            <w:r/>
            <w:r>
              <w:rPr>
                <w:sz w:val="16"/>
              </w:rPr>
              <w:t>Niveles de dificultad y su selección</w:t>
            </w:r>
          </w:p>
        </w:tc>
        <w:tc>
          <w:tcPr>
            <w:tcW w:type="dxa" w:w="5102"/>
          </w:tcPr>
          <w:p>
            <w:pPr>
              <w:spacing w:after="40"/>
            </w:pPr>
            <w:r/>
            <w:r>
              <w:rPr>
                <w:sz w:val="16"/>
              </w:rPr>
              <w:t>El prototipo se demuestra a una dificultad. Añadir más no prueba nada nuevo.</w:t>
            </w:r>
          </w:p>
        </w:tc>
      </w:tr>
      <w:tr>
        <w:tc>
          <w:tcPr>
            <w:tcW w:type="dxa" w:w="1474"/>
          </w:tcPr>
          <w:p>
            <w:pPr>
              <w:spacing w:after="40"/>
            </w:pPr>
            <w:r/>
            <w:r>
              <w:rPr>
                <w:sz w:val="16"/>
              </w:rPr>
              <w:t>JM.1 JM.2 JM.3</w:t>
            </w:r>
          </w:p>
        </w:tc>
        <w:tc>
          <w:tcPr>
            <w:tcW w:type="dxa" w:w="2494"/>
          </w:tcPr>
          <w:p>
            <w:pPr>
              <w:spacing w:after="40"/>
            </w:pPr>
            <w:r/>
            <w:r>
              <w:rPr>
                <w:sz w:val="16"/>
              </w:rPr>
              <w:t>Modo libre con y sin música</w:t>
            </w:r>
          </w:p>
        </w:tc>
        <w:tc>
          <w:tcPr>
            <w:tcW w:type="dxa" w:w="5102"/>
          </w:tcPr>
          <w:p>
            <w:pPr>
              <w:spacing w:after="40"/>
            </w:pPr>
            <w:r/>
            <w:r>
              <w:rPr>
                <w:sz w:val="16"/>
              </w:rPr>
              <w:t>La batería ya es tocable libremente fuera del juego de ritmo: el modo libre existe de facto en la escena actual.</w:t>
            </w:r>
          </w:p>
        </w:tc>
      </w:tr>
      <w:tr>
        <w:tc>
          <w:tcPr>
            <w:tcW w:type="dxa" w:w="1474"/>
          </w:tcPr>
          <w:p>
            <w:pPr>
              <w:spacing w:after="40"/>
            </w:pPr>
            <w:r/>
            <w:r>
              <w:rPr>
                <w:sz w:val="16"/>
              </w:rPr>
              <w:t>JC.1 a JC.4</w:t>
            </w:r>
          </w:p>
        </w:tc>
        <w:tc>
          <w:tcPr>
            <w:tcW w:type="dxa" w:w="2494"/>
          </w:tcPr>
          <w:p>
            <w:pPr>
              <w:spacing w:after="40"/>
            </w:pPr>
            <w:r/>
            <w:r>
              <w:rPr>
                <w:sz w:val="16"/>
              </w:rPr>
              <w:t>Cuenta regresiva, pausa, reinicio y abandono</w:t>
            </w:r>
          </w:p>
        </w:tc>
        <w:tc>
          <w:tcPr>
            <w:tcW w:type="dxa" w:w="5102"/>
          </w:tcPr>
          <w:p>
            <w:pPr>
              <w:spacing w:after="40"/>
            </w:pPr>
            <w:r/>
            <w:r>
              <w:rPr>
                <w:sz w:val="16"/>
              </w:rPr>
              <w:t>Flujo de aplicación, no mecánica. Depende de los menús, que son del área de interfaz.</w:t>
            </w:r>
          </w:p>
        </w:tc>
      </w:tr>
      <w:tr>
        <w:tc>
          <w:tcPr>
            <w:tcW w:type="dxa" w:w="1474"/>
          </w:tcPr>
          <w:p>
            <w:pPr>
              <w:spacing w:after="40"/>
            </w:pPr>
            <w:r/>
            <w:r>
              <w:rPr>
                <w:sz w:val="16"/>
              </w:rPr>
              <w:t>JP.2 JP.4</w:t>
            </w:r>
          </w:p>
        </w:tc>
        <w:tc>
          <w:tcPr>
            <w:tcW w:type="dxa" w:w="2494"/>
          </w:tcPr>
          <w:p>
            <w:pPr>
              <w:spacing w:after="40"/>
            </w:pPr>
            <w:r/>
            <w:r>
              <w:rPr>
                <w:sz w:val="16"/>
              </w:rPr>
              <w:t>Combo y resumen de resultados</w:t>
            </w:r>
          </w:p>
        </w:tc>
        <w:tc>
          <w:tcPr>
            <w:tcW w:type="dxa" w:w="5102"/>
          </w:tcPr>
          <w:p>
            <w:pPr>
              <w:spacing w:after="40"/>
            </w:pPr>
            <w:r/>
            <w:r>
              <w:rPr>
                <w:sz w:val="16"/>
              </w:rPr>
              <w:t>La pantalla de resultados existe como diseño; implementarla es trabajo de interfaz.</w:t>
            </w:r>
          </w:p>
        </w:tc>
      </w:tr>
      <w:tr>
        <w:tc>
          <w:tcPr>
            <w:tcW w:type="dxa" w:w="1474"/>
          </w:tcPr>
          <w:p>
            <w:pPr>
              <w:spacing w:after="40"/>
            </w:pPr>
            <w:r/>
            <w:r>
              <w:rPr>
                <w:sz w:val="16"/>
              </w:rPr>
              <w:t>JW.3 JW.4</w:t>
            </w:r>
          </w:p>
        </w:tc>
        <w:tc>
          <w:tcPr>
            <w:tcW w:type="dxa" w:w="2494"/>
          </w:tcPr>
          <w:p>
            <w:pPr>
              <w:spacing w:after="40"/>
            </w:pPr>
            <w:r/>
            <w:r>
              <w:rPr>
                <w:sz w:val="16"/>
              </w:rPr>
              <w:t>Detección de golpes anticipados y atrasados por separado</w:t>
            </w:r>
          </w:p>
        </w:tc>
        <w:tc>
          <w:tcPr>
            <w:tcW w:type="dxa" w:w="5102"/>
          </w:tcPr>
          <w:p>
            <w:pPr>
              <w:spacing w:after="40"/>
            </w:pPr>
            <w:r/>
            <w:r>
              <w:rPr>
                <w:sz w:val="16"/>
              </w:rPr>
              <w:t>Se registran como fallo. Distinguirlos afina el dato, no la experiencia.</w:t>
            </w:r>
          </w:p>
        </w:tc>
      </w:tr>
      <w:tr>
        <w:tc>
          <w:tcPr>
            <w:tcW w:type="dxa" w:w="1474"/>
          </w:tcPr>
          <w:p>
            <w:pPr>
              <w:spacing w:after="40"/>
            </w:pPr>
            <w:r/>
            <w:r>
              <w:rPr>
                <w:sz w:val="16"/>
              </w:rPr>
              <w:t>JW.6</w:t>
            </w:r>
          </w:p>
        </w:tc>
        <w:tc>
          <w:tcPr>
            <w:tcW w:type="dxa" w:w="2494"/>
          </w:tcPr>
          <w:p>
            <w:pPr>
              <w:spacing w:after="40"/>
            </w:pPr>
            <w:r/>
            <w:r>
              <w:rPr>
                <w:sz w:val="16"/>
              </w:rPr>
              <w:t>Ajustar ventanas tras pruebas de usuarios</w:t>
            </w:r>
          </w:p>
        </w:tc>
        <w:tc>
          <w:tcPr>
            <w:tcW w:type="dxa" w:w="5102"/>
          </w:tcPr>
          <w:p>
            <w:pPr>
              <w:spacing w:after="40"/>
            </w:pPr>
            <w:r/>
            <w:r>
              <w:rPr>
                <w:sz w:val="16"/>
              </w:rPr>
              <w:t>Requiere pruebas con usuarios, que son de la semana 7.</w:t>
            </w:r>
          </w:p>
        </w:tc>
      </w:tr>
      <w:tr>
        <w:tc>
          <w:tcPr>
            <w:tcW w:type="dxa" w:w="1474"/>
          </w:tcPr>
          <w:p>
            <w:pPr>
              <w:spacing w:after="40"/>
            </w:pPr>
            <w:r/>
            <w:r>
              <w:rPr>
                <w:sz w:val="16"/>
              </w:rPr>
              <w:t>JF.1 JF.2</w:t>
            </w:r>
          </w:p>
        </w:tc>
        <w:tc>
          <w:tcPr>
            <w:tcW w:type="dxa" w:w="2494"/>
          </w:tcPr>
          <w:p>
            <w:pPr>
              <w:spacing w:after="40"/>
            </w:pPr>
            <w:r/>
            <w:r>
              <w:rPr>
                <w:sz w:val="16"/>
              </w:rPr>
              <w:t>Feedback visual y auditivo de acierto y error</w:t>
            </w:r>
          </w:p>
        </w:tc>
        <w:tc>
          <w:tcPr>
            <w:tcW w:type="dxa" w:w="5102"/>
          </w:tcPr>
          <w:p>
            <w:pPr>
              <w:spacing w:after="40"/>
            </w:pPr>
            <w:r/>
            <w:r>
              <w:rPr>
                <w:sz w:val="16"/>
              </w:rPr>
              <w:t>El indicador de golpes ya muestra pieza e intensidad en cada golpe.</w:t>
            </w:r>
          </w:p>
        </w:tc>
      </w:tr>
      <w:tr>
        <w:tc>
          <w:tcPr>
            <w:tcW w:type="dxa" w:w="1474"/>
          </w:tcPr>
          <w:p>
            <w:pPr>
              <w:spacing w:after="40"/>
            </w:pPr>
            <w:r/>
            <w:r>
              <w:rPr>
                <w:sz w:val="16"/>
              </w:rPr>
              <w:t>JI.2 a JI.5</w:t>
            </w:r>
          </w:p>
        </w:tc>
        <w:tc>
          <w:tcPr>
            <w:tcW w:type="dxa" w:w="2494"/>
          </w:tcPr>
          <w:p>
            <w:pPr>
              <w:spacing w:after="40"/>
            </w:pPr>
            <w:r/>
            <w:r>
              <w:rPr>
                <w:sz w:val="16"/>
              </w:rPr>
              <w:t>Sustituir teclado por VR e integrar con el flujo general</w:t>
            </w:r>
          </w:p>
        </w:tc>
        <w:tc>
          <w:tcPr>
            <w:tcW w:type="dxa" w:w="5102"/>
          </w:tcPr>
          <w:p>
            <w:pPr>
              <w:spacing w:after="40"/>
            </w:pPr>
            <w:r/>
            <w:r>
              <w:rPr>
                <w:sz w:val="16"/>
              </w:rPr>
              <w:t>La interacción VR ya existe: el juego se monta sobre DrumHit, no sobre teclado. Las tareas quedan sin objeto.</w:t>
            </w:r>
          </w:p>
        </w:tc>
      </w:tr>
      <w:tr>
        <w:tc>
          <w:tcPr>
            <w:tcW w:type="dxa" w:w="1474"/>
          </w:tcPr>
          <w:p>
            <w:pPr>
              <w:spacing w:after="40"/>
            </w:pPr>
            <w:r/>
            <w:r>
              <w:rPr>
                <w:sz w:val="16"/>
              </w:rPr>
              <w:t>JK</w:t>
            </w:r>
          </w:p>
        </w:tc>
        <w:tc>
          <w:tcPr>
            <w:tcW w:type="dxa" w:w="2494"/>
          </w:tcPr>
          <w:p>
            <w:pPr>
              <w:spacing w:after="40"/>
            </w:pPr>
            <w:r/>
            <w:r>
              <w:rPr>
                <w:sz w:val="16"/>
              </w:rPr>
              <w:t>Sistema provisional de golpes con teclado</w:t>
            </w:r>
          </w:p>
        </w:tc>
        <w:tc>
          <w:tcPr>
            <w:tcW w:type="dxa" w:w="5102"/>
          </w:tcPr>
          <w:p>
            <w:pPr>
              <w:spacing w:after="40"/>
            </w:pPr>
            <w:r/>
            <w:r>
              <w:rPr>
                <w:sz w:val="16"/>
              </w:rPr>
              <w:t>Sin objeto por la misma razón.</w:t>
            </w:r>
          </w:p>
        </w:tc>
      </w:tr>
      <w:tr>
        <w:tc>
          <w:tcPr>
            <w:tcW w:type="dxa" w:w="1474"/>
          </w:tcPr>
          <w:p>
            <w:pPr>
              <w:spacing w:after="40"/>
            </w:pPr>
            <w:r/>
            <w:r>
              <w:rPr>
                <w:sz w:val="16"/>
              </w:rPr>
              <w:t>JY</w:t>
            </w:r>
          </w:p>
        </w:tc>
        <w:tc>
          <w:tcPr>
            <w:tcW w:type="dxa" w:w="2494"/>
          </w:tcPr>
          <w:p>
            <w:pPr>
              <w:spacing w:after="40"/>
            </w:pPr>
            <w:r/>
            <w:r>
              <w:rPr>
                <w:sz w:val="16"/>
              </w:rPr>
              <w:t>Calibración de latencia entre golpe y música</w:t>
            </w:r>
          </w:p>
        </w:tc>
        <w:tc>
          <w:tcPr>
            <w:tcW w:type="dxa" w:w="5102"/>
          </w:tcPr>
          <w:p>
            <w:pPr>
              <w:spacing w:after="40"/>
            </w:pPr>
            <w:r/>
            <w:r>
              <w:rPr>
                <w:sz w:val="16"/>
              </w:rPr>
              <w:t>Ya resuelta por otra vía: la latencia se midió y quedó en +4.07 ms de p90.</w:t>
            </w:r>
          </w:p>
        </w:tc>
      </w:tr>
    </w:tbl>
    <w:p>
      <w:pPr>
        <w:spacing w:after="40"/>
      </w:pPr>
    </w:p>
    <w:p>
      <w:pPr>
        <w:spacing w:after="160"/>
        <w:jc w:val="both"/>
      </w:pPr>
      <w:r>
        <w:rPr>
          <w:b w:val="0"/>
          <w:i/>
        </w:rPr>
        <w:t>Cuatro de los recortes no son pérdida de alcance sino actividades que quedaron sin objeto: la interacción VR ya existe, de modo que sustituir un sistema provisional de teclado que nunca se construyó carece de sentido; y la calibración de latencia ya se resolvió por otra vía, con un resultado medido de +4.07 ms en el percentil 90.</w:t>
      </w:r>
    </w:p>
    <w:p>
      <w:pPr>
        <w:pStyle w:val="Heading1"/>
      </w:pPr>
      <w:r>
        <w:t>4. Segundos conocedores por área</w:t>
      </w:r>
    </w:p>
    <w:p>
      <w:pPr>
        <w:spacing w:after="160"/>
        <w:jc w:val="both"/>
      </w:pPr>
      <w:r>
        <w:rPr>
          <w:b w:val="0"/>
          <w:i w:val="0"/>
        </w:rPr>
        <w:t>El plan de R14 los daba por designados. No lo estaban. Se designan ahora, con el compromiso de que el segundo conocedor pueda continuar el área si su responsable principal falta.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154"/>
          </w:tcPr>
          <w:p>
            <w:pPr>
              <w:spacing w:after="40"/>
              <w:jc w:val="center"/>
            </w:pPr>
            <w:r/>
            <w:r>
              <w:rPr>
                <w:b/>
                <w:sz w:val="16"/>
              </w:rPr>
              <w:t>Área</w:t>
            </w:r>
          </w:p>
        </w:tc>
        <w:tc>
          <w:tcPr>
            <w:tcW w:type="dxa" w:w="1814"/>
          </w:tcPr>
          <w:p>
            <w:pPr>
              <w:spacing w:after="40"/>
              <w:jc w:val="center"/>
            </w:pPr>
            <w:r/>
            <w:r>
              <w:rPr>
                <w:b/>
                <w:sz w:val="16"/>
              </w:rPr>
              <w:t>Responsable</w:t>
            </w:r>
          </w:p>
        </w:tc>
        <w:tc>
          <w:tcPr>
            <w:tcW w:type="dxa" w:w="1814"/>
          </w:tcPr>
          <w:p>
            <w:pPr>
              <w:spacing w:after="40"/>
              <w:jc w:val="center"/>
            </w:pPr>
            <w:r/>
            <w:r>
              <w:rPr>
                <w:b/>
                <w:sz w:val="16"/>
              </w:rPr>
              <w:t>Segundo conocedor</w:t>
            </w:r>
          </w:p>
        </w:tc>
        <w:tc>
          <w:tcPr>
            <w:tcW w:type="dxa" w:w="3288"/>
          </w:tcPr>
          <w:p>
            <w:pPr>
              <w:spacing w:after="40"/>
              <w:jc w:val="center"/>
            </w:pPr>
            <w:r/>
            <w:r>
              <w:rPr>
                <w:b/>
                <w:sz w:val="16"/>
              </w:rPr>
              <w:t>Razón</w:t>
            </w:r>
          </w:p>
        </w:tc>
      </w:tr>
      <w:tr>
        <w:tc>
          <w:tcPr>
            <w:tcW w:type="dxa" w:w="2154"/>
          </w:tcPr>
          <w:p>
            <w:pPr>
              <w:spacing w:after="40"/>
            </w:pPr>
            <w:r/>
            <w:r>
              <w:rPr>
                <w:sz w:val="16"/>
              </w:rPr>
              <w:t>Desarrollo VR y batería</w:t>
            </w:r>
          </w:p>
        </w:tc>
        <w:tc>
          <w:tcPr>
            <w:tcW w:type="dxa" w:w="1814"/>
          </w:tcPr>
          <w:p>
            <w:pPr>
              <w:spacing w:after="40"/>
            </w:pPr>
            <w:r/>
            <w:r>
              <w:rPr>
                <w:sz w:val="16"/>
              </w:rPr>
              <w:t>Misael</w:t>
            </w:r>
          </w:p>
        </w:tc>
        <w:tc>
          <w:tcPr>
            <w:tcW w:type="dxa" w:w="1814"/>
          </w:tcPr>
          <w:p>
            <w:pPr>
              <w:spacing w:after="40"/>
            </w:pPr>
            <w:r/>
            <w:r>
              <w:rPr>
                <w:sz w:val="16"/>
              </w:rPr>
              <w:t>Christian</w:t>
            </w:r>
          </w:p>
        </w:tc>
        <w:tc>
          <w:tcPr>
            <w:tcW w:type="dxa" w:w="3288"/>
          </w:tcPr>
          <w:p>
            <w:pPr>
              <w:spacing w:after="40"/>
            </w:pPr>
            <w:r/>
            <w:r>
              <w:rPr>
                <w:sz w:val="16"/>
              </w:rPr>
              <w:t>Ya integra audio con el sistema de golpe; conoce DrumHit desde el lado del sonido.</w:t>
            </w:r>
          </w:p>
        </w:tc>
      </w:tr>
      <w:tr>
        <w:tc>
          <w:tcPr>
            <w:tcW w:type="dxa" w:w="2154"/>
          </w:tcPr>
          <w:p>
            <w:pPr>
              <w:spacing w:after="40"/>
            </w:pPr>
            <w:r/>
            <w:r>
              <w:rPr>
                <w:sz w:val="16"/>
              </w:rPr>
              <w:t>Juego de ritmo</w:t>
            </w:r>
          </w:p>
        </w:tc>
        <w:tc>
          <w:tcPr>
            <w:tcW w:type="dxa" w:w="1814"/>
          </w:tcPr>
          <w:p>
            <w:pPr>
              <w:spacing w:after="40"/>
            </w:pPr>
            <w:r/>
            <w:r>
              <w:rPr>
                <w:sz w:val="16"/>
              </w:rPr>
              <w:t>Misael (reasignado)</w:t>
            </w:r>
          </w:p>
        </w:tc>
        <w:tc>
          <w:tcPr>
            <w:tcW w:type="dxa" w:w="1814"/>
          </w:tcPr>
          <w:p>
            <w:pPr>
              <w:spacing w:after="40"/>
            </w:pPr>
            <w:r/>
            <w:r>
              <w:rPr>
                <w:sz w:val="16"/>
              </w:rPr>
              <w:t>Diana</w:t>
            </w:r>
          </w:p>
        </w:tc>
        <w:tc>
          <w:tcPr>
            <w:tcW w:type="dxa" w:w="3288"/>
          </w:tcPr>
          <w:p>
            <w:pPr>
              <w:spacing w:after="40"/>
            </w:pPr>
            <w:r/>
            <w:r>
              <w:rPr>
                <w:sz w:val="16"/>
              </w:rPr>
              <w:t>Documenta el área y redacta sus pruebas.</w:t>
            </w:r>
          </w:p>
        </w:tc>
      </w:tr>
      <w:tr>
        <w:tc>
          <w:tcPr>
            <w:tcW w:type="dxa" w:w="2154"/>
          </w:tcPr>
          <w:p>
            <w:pPr>
              <w:spacing w:after="40"/>
            </w:pPr>
            <w:r/>
            <w:r>
              <w:rPr>
                <w:sz w:val="16"/>
              </w:rPr>
              <w:t>Entorno 3D</w:t>
            </w:r>
          </w:p>
        </w:tc>
        <w:tc>
          <w:tcPr>
            <w:tcW w:type="dxa" w:w="1814"/>
          </w:tcPr>
          <w:p>
            <w:pPr>
              <w:spacing w:after="40"/>
            </w:pPr>
            <w:r/>
            <w:r>
              <w:rPr>
                <w:sz w:val="16"/>
              </w:rPr>
              <w:t>Kimberly</w:t>
            </w:r>
          </w:p>
        </w:tc>
        <w:tc>
          <w:tcPr>
            <w:tcW w:type="dxa" w:w="1814"/>
          </w:tcPr>
          <w:p>
            <w:pPr>
              <w:spacing w:after="40"/>
            </w:pPr>
            <w:r/>
            <w:r>
              <w:rPr>
                <w:sz w:val="16"/>
              </w:rPr>
              <w:t>Sarai</w:t>
            </w:r>
          </w:p>
        </w:tc>
        <w:tc>
          <w:tcPr>
            <w:tcW w:type="dxa" w:w="3288"/>
          </w:tcPr>
          <w:p>
            <w:pPr>
              <w:spacing w:after="40"/>
            </w:pPr>
            <w:r/>
            <w:r>
              <w:rPr>
                <w:sz w:val="16"/>
              </w:rPr>
              <w:t>Comparte criterio visual y la paleta con el entorno.</w:t>
            </w:r>
          </w:p>
        </w:tc>
      </w:tr>
      <w:tr>
        <w:tc>
          <w:tcPr>
            <w:tcW w:type="dxa" w:w="2154"/>
          </w:tcPr>
          <w:p>
            <w:pPr>
              <w:spacing w:after="40"/>
            </w:pPr>
            <w:r/>
            <w:r>
              <w:rPr>
                <w:sz w:val="16"/>
              </w:rPr>
              <w:t>Interfaz / UX-UI</w:t>
            </w:r>
          </w:p>
        </w:tc>
        <w:tc>
          <w:tcPr>
            <w:tcW w:type="dxa" w:w="1814"/>
          </w:tcPr>
          <w:p>
            <w:pPr>
              <w:spacing w:after="40"/>
            </w:pPr>
            <w:r/>
            <w:r>
              <w:rPr>
                <w:sz w:val="16"/>
              </w:rPr>
              <w:t>Sarai</w:t>
            </w:r>
          </w:p>
        </w:tc>
        <w:tc>
          <w:tcPr>
            <w:tcW w:type="dxa" w:w="1814"/>
          </w:tcPr>
          <w:p>
            <w:pPr>
              <w:spacing w:after="40"/>
            </w:pPr>
            <w:r/>
            <w:r>
              <w:rPr>
                <w:sz w:val="16"/>
              </w:rPr>
              <w:t>Kimberly</w:t>
            </w:r>
          </w:p>
        </w:tc>
        <w:tc>
          <w:tcPr>
            <w:tcW w:type="dxa" w:w="3288"/>
          </w:tcPr>
          <w:p>
            <w:pPr>
              <w:spacing w:after="40"/>
            </w:pPr>
            <w:r/>
            <w:r>
              <w:rPr>
                <w:sz w:val="16"/>
              </w:rPr>
              <w:t>Misma razón, en sentido inverso.</w:t>
            </w:r>
          </w:p>
        </w:tc>
      </w:tr>
      <w:tr>
        <w:tc>
          <w:tcPr>
            <w:tcW w:type="dxa" w:w="2154"/>
          </w:tcPr>
          <w:p>
            <w:pPr>
              <w:spacing w:after="40"/>
            </w:pPr>
            <w:r/>
            <w:r>
              <w:rPr>
                <w:sz w:val="16"/>
              </w:rPr>
              <w:t>Sonido</w:t>
            </w:r>
          </w:p>
        </w:tc>
        <w:tc>
          <w:tcPr>
            <w:tcW w:type="dxa" w:w="1814"/>
          </w:tcPr>
          <w:p>
            <w:pPr>
              <w:spacing w:after="40"/>
            </w:pPr>
            <w:r/>
            <w:r>
              <w:rPr>
                <w:sz w:val="16"/>
              </w:rPr>
              <w:t>Christian</w:t>
            </w:r>
          </w:p>
        </w:tc>
        <w:tc>
          <w:tcPr>
            <w:tcW w:type="dxa" w:w="1814"/>
          </w:tcPr>
          <w:p>
            <w:pPr>
              <w:spacing w:after="40"/>
            </w:pPr>
            <w:r/>
            <w:r>
              <w:rPr>
                <w:sz w:val="16"/>
              </w:rPr>
              <w:t>Javier</w:t>
            </w:r>
          </w:p>
        </w:tc>
        <w:tc>
          <w:tcPr>
            <w:tcW w:type="dxa" w:w="3288"/>
          </w:tcPr>
          <w:p>
            <w:pPr>
              <w:spacing w:after="40"/>
            </w:pPr>
            <w:r/>
            <w:r>
              <w:rPr>
                <w:sz w:val="16"/>
              </w:rPr>
              <w:t>Música y sonido comparten formato, licencias y mezcla.</w:t>
            </w:r>
          </w:p>
        </w:tc>
      </w:tr>
      <w:tr>
        <w:tc>
          <w:tcPr>
            <w:tcW w:type="dxa" w:w="2154"/>
          </w:tcPr>
          <w:p>
            <w:pPr>
              <w:spacing w:after="40"/>
            </w:pPr>
            <w:r/>
            <w:r>
              <w:rPr>
                <w:sz w:val="16"/>
              </w:rPr>
              <w:t>Música</w:t>
            </w:r>
          </w:p>
        </w:tc>
        <w:tc>
          <w:tcPr>
            <w:tcW w:type="dxa" w:w="1814"/>
          </w:tcPr>
          <w:p>
            <w:pPr>
              <w:spacing w:after="40"/>
            </w:pPr>
            <w:r/>
            <w:r>
              <w:rPr>
                <w:sz w:val="16"/>
              </w:rPr>
              <w:t>Javier</w:t>
            </w:r>
          </w:p>
        </w:tc>
        <w:tc>
          <w:tcPr>
            <w:tcW w:type="dxa" w:w="1814"/>
          </w:tcPr>
          <w:p>
            <w:pPr>
              <w:spacing w:after="40"/>
            </w:pPr>
            <w:r/>
            <w:r>
              <w:rPr>
                <w:sz w:val="16"/>
              </w:rPr>
              <w:t>Christian</w:t>
            </w:r>
          </w:p>
        </w:tc>
        <w:tc>
          <w:tcPr>
            <w:tcW w:type="dxa" w:w="3288"/>
          </w:tcPr>
          <w:p>
            <w:pPr>
              <w:spacing w:after="40"/>
            </w:pPr>
            <w:r/>
            <w:r>
              <w:rPr>
                <w:sz w:val="16"/>
              </w:rPr>
              <w:t>Misma razón, en sentido inverso.</w:t>
            </w:r>
          </w:p>
        </w:tc>
      </w:tr>
      <w:tr>
        <w:tc>
          <w:tcPr>
            <w:tcW w:type="dxa" w:w="2154"/>
          </w:tcPr>
          <w:p>
            <w:pPr>
              <w:spacing w:after="40"/>
            </w:pPr>
            <w:r/>
            <w:r>
              <w:rPr>
                <w:sz w:val="16"/>
              </w:rPr>
              <w:t>Experiencia emocional</w:t>
            </w:r>
          </w:p>
        </w:tc>
        <w:tc>
          <w:tcPr>
            <w:tcW w:type="dxa" w:w="1814"/>
          </w:tcPr>
          <w:p>
            <w:pPr>
              <w:spacing w:after="40"/>
            </w:pPr>
            <w:r/>
            <w:r>
              <w:rPr>
                <w:sz w:val="16"/>
              </w:rPr>
              <w:t>María</w:t>
            </w:r>
          </w:p>
        </w:tc>
        <w:tc>
          <w:tcPr>
            <w:tcW w:type="dxa" w:w="1814"/>
          </w:tcPr>
          <w:p>
            <w:pPr>
              <w:spacing w:after="40"/>
            </w:pPr>
            <w:r/>
            <w:r>
              <w:rPr>
                <w:sz w:val="16"/>
              </w:rPr>
              <w:t>Diana</w:t>
            </w:r>
          </w:p>
        </w:tc>
        <w:tc>
          <w:tcPr>
            <w:tcW w:type="dxa" w:w="3288"/>
          </w:tcPr>
          <w:p>
            <w:pPr>
              <w:spacing w:after="40"/>
            </w:pPr>
            <w:r/>
            <w:r>
              <w:rPr>
                <w:sz w:val="16"/>
              </w:rPr>
              <w:t>La fundamentación alimenta el informe final.</w:t>
            </w:r>
          </w:p>
        </w:tc>
      </w:tr>
      <w:tr>
        <w:tc>
          <w:tcPr>
            <w:tcW w:type="dxa" w:w="2154"/>
          </w:tcPr>
          <w:p>
            <w:pPr>
              <w:spacing w:after="40"/>
            </w:pPr>
            <w:r/>
            <w:r>
              <w:rPr>
                <w:sz w:val="16"/>
              </w:rPr>
              <w:t>QA, documentación y gestión</w:t>
            </w:r>
          </w:p>
        </w:tc>
        <w:tc>
          <w:tcPr>
            <w:tcW w:type="dxa" w:w="1814"/>
          </w:tcPr>
          <w:p>
            <w:pPr>
              <w:spacing w:after="40"/>
            </w:pPr>
            <w:r/>
            <w:r>
              <w:rPr>
                <w:sz w:val="16"/>
              </w:rPr>
              <w:t>Diana</w:t>
            </w:r>
          </w:p>
        </w:tc>
        <w:tc>
          <w:tcPr>
            <w:tcW w:type="dxa" w:w="1814"/>
          </w:tcPr>
          <w:p>
            <w:pPr>
              <w:spacing w:after="40"/>
            </w:pPr>
            <w:r/>
            <w:r>
              <w:rPr>
                <w:sz w:val="16"/>
              </w:rPr>
              <w:t>Misael</w:t>
            </w:r>
          </w:p>
        </w:tc>
        <w:tc>
          <w:tcPr>
            <w:tcW w:type="dxa" w:w="3288"/>
          </w:tcPr>
          <w:p>
            <w:pPr>
              <w:spacing w:after="40"/>
            </w:pPr>
            <w:r/>
            <w:r>
              <w:rPr>
                <w:sz w:val="16"/>
              </w:rPr>
              <w:t>Mantiene el cronograma y el repositorio.</w:t>
            </w:r>
          </w:p>
        </w:tc>
      </w:tr>
    </w:tbl>
    <w:p>
      <w:pPr>
        <w:spacing w:after="40"/>
      </w:pPr>
    </w:p>
    <w:p>
      <w:pPr>
        <w:pStyle w:val="Heading1"/>
      </w:pPr>
      <w:r>
        <w:t>5. Trabajo ya hecho que no estaba registrado</w:t>
      </w:r>
    </w:p>
    <w:p>
      <w:pPr>
        <w:spacing w:after="160"/>
        <w:jc w:val="both"/>
      </w:pPr>
      <w:r>
        <w:rPr>
          <w:b w:val="0"/>
          <w:i w:val="0"/>
        </w:rPr>
        <w:t>Al revisar el estado real del proyecto se encontró trabajo terminado que el área responsable no había registrado. Verificarlo antes de empezar evita repetirlo.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247"/>
          </w:tcPr>
          <w:p>
            <w:pPr>
              <w:spacing w:after="40"/>
              <w:jc w:val="center"/>
            </w:pPr>
            <w:r/>
            <w:r>
              <w:rPr>
                <w:b/>
                <w:sz w:val="16"/>
              </w:rPr>
              <w:t>Área</w:t>
            </w:r>
          </w:p>
        </w:tc>
        <w:tc>
          <w:tcPr>
            <w:tcW w:type="dxa" w:w="1701"/>
          </w:tcPr>
          <w:p>
            <w:pPr>
              <w:spacing w:after="40"/>
              <w:jc w:val="center"/>
            </w:pPr>
            <w:r/>
            <w:r>
              <w:rPr>
                <w:b/>
                <w:sz w:val="16"/>
              </w:rPr>
              <w:t>Claves</w:t>
            </w:r>
          </w:p>
        </w:tc>
        <w:tc>
          <w:tcPr>
            <w:tcW w:type="dxa" w:w="2494"/>
          </w:tcPr>
          <w:p>
            <w:pPr>
              <w:spacing w:after="40"/>
              <w:jc w:val="center"/>
            </w:pPr>
            <w:r/>
            <w:r>
              <w:rPr>
                <w:b/>
                <w:sz w:val="16"/>
              </w:rPr>
              <w:t>Actividad</w:t>
            </w:r>
          </w:p>
        </w:tc>
        <w:tc>
          <w:tcPr>
            <w:tcW w:type="dxa" w:w="3628"/>
          </w:tcPr>
          <w:p>
            <w:pPr>
              <w:spacing w:after="40"/>
              <w:jc w:val="center"/>
            </w:pPr>
            <w:r/>
            <w:r>
              <w:rPr>
                <w:b/>
                <w:sz w:val="16"/>
              </w:rPr>
              <w:t>Estado real</w:t>
            </w:r>
          </w:p>
        </w:tc>
      </w:tr>
      <w:tr>
        <w:tc>
          <w:tcPr>
            <w:tcW w:type="dxa" w:w="1247"/>
          </w:tcPr>
          <w:p>
            <w:pPr>
              <w:spacing w:after="40"/>
            </w:pPr>
            <w:r/>
            <w:r>
              <w:rPr>
                <w:sz w:val="16"/>
              </w:rPr>
              <w:t>Christian</w:t>
            </w:r>
          </w:p>
        </w:tc>
        <w:tc>
          <w:tcPr>
            <w:tcW w:type="dxa" w:w="1701"/>
          </w:tcPr>
          <w:p>
            <w:pPr>
              <w:spacing w:after="40"/>
            </w:pPr>
            <w:r/>
            <w:r>
              <w:rPr>
                <w:sz w:val="16"/>
              </w:rPr>
              <w:t>SI.1 a SI.4</w:t>
            </w:r>
          </w:p>
        </w:tc>
        <w:tc>
          <w:tcPr>
            <w:tcW w:type="dxa" w:w="2494"/>
          </w:tcPr>
          <w:p>
            <w:pPr>
              <w:spacing w:after="40"/>
            </w:pPr>
            <w:r/>
            <w:r>
              <w:rPr>
                <w:sz w:val="16"/>
              </w:rPr>
              <w:t>Integrar sonidos de batería con el sistema DrumHit</w:t>
            </w:r>
          </w:p>
        </w:tc>
        <w:tc>
          <w:tcPr>
            <w:tcW w:type="dxa" w:w="3628"/>
          </w:tcPr>
          <w:p>
            <w:pPr>
              <w:spacing w:after="40"/>
            </w:pPr>
            <w:r/>
            <w:r>
              <w:rPr>
                <w:sz w:val="16"/>
              </w:rPr>
              <w:t>Hecho. DrumVoice selecciona la muestra por pieza y por intensidad, con dinámica timbral y round-robin. Verificar y marcar.</w:t>
            </w:r>
          </w:p>
        </w:tc>
      </w:tr>
      <w:tr>
        <w:tc>
          <w:tcPr>
            <w:tcW w:type="dxa" w:w="1247"/>
          </w:tcPr>
          <w:p>
            <w:pPr>
              <w:spacing w:after="40"/>
            </w:pPr>
            <w:r/>
            <w:r>
              <w:rPr>
                <w:sz w:val="16"/>
              </w:rPr>
              <w:t>Christian</w:t>
            </w:r>
          </w:p>
        </w:tc>
        <w:tc>
          <w:tcPr>
            <w:tcW w:type="dxa" w:w="1701"/>
          </w:tcPr>
          <w:p>
            <w:pPr>
              <w:spacing w:after="40"/>
            </w:pPr>
            <w:r/>
            <w:r>
              <w:rPr>
                <w:sz w:val="16"/>
              </w:rPr>
              <w:t>SE.1 a SE.4</w:t>
            </w:r>
          </w:p>
        </w:tc>
        <w:tc>
          <w:tcPr>
            <w:tcW w:type="dxa" w:w="2494"/>
          </w:tcPr>
          <w:p>
            <w:pPr>
              <w:spacing w:after="40"/>
            </w:pPr>
            <w:r/>
            <w:r>
              <w:rPr>
                <w:sz w:val="16"/>
              </w:rPr>
              <w:t>Editar y normalizar las muestras</w:t>
            </w:r>
          </w:p>
        </w:tc>
        <w:tc>
          <w:tcPr>
            <w:tcW w:type="dxa" w:w="3628"/>
          </w:tcPr>
          <w:p>
            <w:pPr>
              <w:spacing w:after="40"/>
            </w:pPr>
            <w:r/>
            <w:r>
              <w:rPr>
                <w:sz w:val="16"/>
              </w:rPr>
              <w:t>Hecho. Las 82 muestras están a 48 kHz, mono, PCM, sin silencio inicial.</w:t>
            </w:r>
          </w:p>
        </w:tc>
      </w:tr>
      <w:tr>
        <w:tc>
          <w:tcPr>
            <w:tcW w:type="dxa" w:w="1247"/>
          </w:tcPr>
          <w:p>
            <w:pPr>
              <w:spacing w:after="40"/>
            </w:pPr>
            <w:r/>
            <w:r>
              <w:rPr>
                <w:sz w:val="16"/>
              </w:rPr>
              <w:t>Christian</w:t>
            </w:r>
          </w:p>
        </w:tc>
        <w:tc>
          <w:tcPr>
            <w:tcW w:type="dxa" w:w="1701"/>
          </w:tcPr>
          <w:p>
            <w:pPr>
              <w:spacing w:after="40"/>
            </w:pPr>
            <w:r/>
            <w:r>
              <w:rPr>
                <w:sz w:val="16"/>
              </w:rPr>
              <w:t>SB.1 a SB.6</w:t>
            </w:r>
          </w:p>
        </w:tc>
        <w:tc>
          <w:tcPr>
            <w:tcW w:type="dxa" w:w="2494"/>
          </w:tcPr>
          <w:p>
            <w:pPr>
              <w:spacing w:after="40"/>
            </w:pPr>
            <w:r/>
            <w:r>
              <w:rPr>
                <w:sz w:val="16"/>
              </w:rPr>
              <w:t>Buscar sonidos de cada pieza</w:t>
            </w:r>
          </w:p>
        </w:tc>
        <w:tc>
          <w:tcPr>
            <w:tcW w:type="dxa" w:w="3628"/>
          </w:tcPr>
          <w:p>
            <w:pPr>
              <w:spacing w:after="40"/>
            </w:pPr>
            <w:r/>
            <w:r>
              <w:rPr>
                <w:sz w:val="16"/>
              </w:rPr>
              <w:t>Parcial. Bombo, tarola, dos toms, hi-hat y ride están. FALTA EL CRASH: el pack de Dustyroom no incluye ninguno.</w:t>
            </w:r>
          </w:p>
        </w:tc>
      </w:tr>
      <w:tr>
        <w:tc>
          <w:tcPr>
            <w:tcW w:type="dxa" w:w="1247"/>
          </w:tcPr>
          <w:p>
            <w:pPr>
              <w:spacing w:after="40"/>
            </w:pPr>
            <w:r/>
            <w:r>
              <w:rPr>
                <w:sz w:val="16"/>
              </w:rPr>
              <w:t>Sarai</w:t>
            </w:r>
          </w:p>
        </w:tc>
        <w:tc>
          <w:tcPr>
            <w:tcW w:type="dxa" w:w="1701"/>
          </w:tcPr>
          <w:p>
            <w:pPr>
              <w:spacing w:after="40"/>
            </w:pPr>
            <w:r/>
            <w:r>
              <w:rPr>
                <w:sz w:val="16"/>
              </w:rPr>
              <w:t>IM.1 IM.2 · IW.1 a IW.5 · IG.1 a IG.3</w:t>
            </w:r>
          </w:p>
        </w:tc>
        <w:tc>
          <w:tcPr>
            <w:tcW w:type="dxa" w:w="2494"/>
          </w:tcPr>
          <w:p>
            <w:pPr>
              <w:spacing w:after="40"/>
            </w:pPr>
            <w:r/>
            <w:r>
              <w:rPr>
                <w:sz w:val="16"/>
              </w:rPr>
              <w:t>Mapa de pantallas, wireframes e indicadores</w:t>
            </w:r>
          </w:p>
        </w:tc>
        <w:tc>
          <w:tcPr>
            <w:tcW w:type="dxa" w:w="3628"/>
          </w:tcPr>
          <w:p>
            <w:pPr>
              <w:spacing w:after="40"/>
            </w:pPr>
            <w:r/>
            <w:r>
              <w:rPr>
                <w:sz w:val="16"/>
              </w:rPr>
              <w:t>Hecho. Las pantallas existen como prototipo navegable.</w:t>
            </w:r>
          </w:p>
        </w:tc>
      </w:tr>
      <w:tr>
        <w:tc>
          <w:tcPr>
            <w:tcW w:type="dxa" w:w="1247"/>
          </w:tcPr>
          <w:p>
            <w:pPr>
              <w:spacing w:after="40"/>
            </w:pPr>
            <w:r/>
            <w:r>
              <w:rPr>
                <w:sz w:val="16"/>
              </w:rPr>
              <w:t>Sarai</w:t>
            </w:r>
          </w:p>
        </w:tc>
        <w:tc>
          <w:tcPr>
            <w:tcW w:type="dxa" w:w="1701"/>
          </w:tcPr>
          <w:p>
            <w:pPr>
              <w:spacing w:after="40"/>
            </w:pPr>
            <w:r/>
            <w:r>
              <w:rPr>
                <w:sz w:val="16"/>
              </w:rPr>
              <w:t>IR.1</w:t>
            </w:r>
          </w:p>
        </w:tc>
        <w:tc>
          <w:tcPr>
            <w:tcW w:type="dxa" w:w="2494"/>
          </w:tcPr>
          <w:p>
            <w:pPr>
              <w:spacing w:after="40"/>
            </w:pPr>
            <w:r/>
            <w:r>
              <w:rPr>
                <w:sz w:val="16"/>
              </w:rPr>
              <w:t>Revisar legibilidad de textos dentro del visor</w:t>
            </w:r>
          </w:p>
        </w:tc>
        <w:tc>
          <w:tcPr>
            <w:tcW w:type="dxa" w:w="3628"/>
          </w:tcPr>
          <w:p>
            <w:pPr>
              <w:spacing w:after="40"/>
            </w:pPr>
            <w:r/>
            <w:r>
              <w:rPr>
                <w:sz w:val="16"/>
              </w:rPr>
              <w:t>Investigado. El panel claro tiene 94 % de luminancia y cinco de los nueve colores de la paleta no alcanzan el contraste mínimo AA sobre él. Falta corregir, no investigar.</w:t>
            </w:r>
          </w:p>
        </w:tc>
      </w:tr>
      <w:tr>
        <w:tc>
          <w:tcPr>
            <w:tcW w:type="dxa" w:w="1247"/>
          </w:tcPr>
          <w:p>
            <w:pPr>
              <w:spacing w:after="40"/>
            </w:pPr>
            <w:r/>
            <w:r>
              <w:rPr>
                <w:sz w:val="16"/>
              </w:rPr>
              <w:t>Kimberly</w:t>
            </w:r>
          </w:p>
        </w:tc>
        <w:tc>
          <w:tcPr>
            <w:tcW w:type="dxa" w:w="1701"/>
          </w:tcPr>
          <w:p>
            <w:pPr>
              <w:spacing w:after="40"/>
            </w:pPr>
            <w:r/>
            <w:r>
              <w:rPr>
                <w:sz w:val="16"/>
              </w:rPr>
              <w:t>AC.1 a AC.3</w:t>
            </w:r>
          </w:p>
        </w:tc>
        <w:tc>
          <w:tcPr>
            <w:tcW w:type="dxa" w:w="2494"/>
          </w:tcPr>
          <w:p>
            <w:pPr>
              <w:spacing w:after="40"/>
            </w:pPr>
            <w:r/>
            <w:r>
              <w:rPr>
                <w:sz w:val="16"/>
              </w:rPr>
              <w:t>Investigar teoría del color y percepción emocional</w:t>
            </w:r>
          </w:p>
        </w:tc>
        <w:tc>
          <w:tcPr>
            <w:tcW w:type="dxa" w:w="3628"/>
          </w:tcPr>
          <w:p>
            <w:pPr>
              <w:spacing w:after="40"/>
            </w:pPr>
            <w:r/>
            <w:r>
              <w:rPr>
                <w:sz w:val="16"/>
              </w:rPr>
              <w:t>Hecho por otra vía: existe el documento de paleta con los ocho colores definidos y su función. No rehacerlo.</w:t>
            </w:r>
          </w:p>
        </w:tc>
      </w:tr>
    </w:tbl>
    <w:p>
      <w:pPr>
        <w:spacing w:after="40"/>
      </w:pPr>
    </w:p>
    <w:p>
      <w:pPr>
        <w:pStyle w:val="Heading1"/>
      </w:pPr>
      <w:r>
        <w:t>6. Qué investigar cada área</w:t>
      </w:r>
    </w:p>
    <w:p>
      <w:pPr>
        <w:spacing w:after="160"/>
        <w:jc w:val="both"/>
      </w:pPr>
      <w:r>
        <w:rPr>
          <w:b w:val="0"/>
          <w:i w:val="0"/>
        </w:rPr>
        <w:t>Indicaciones concretas por responsable: dónde buscar y con qué criterio decidir. No sustituyen el juicio de cada quien; acortan el arranque.</w:t>
      </w:r>
    </w:p>
    <w:p>
      <w:pPr>
        <w:pStyle w:val="Heading2"/>
      </w:pPr>
      <w:r>
        <w:t>Kimberly — 31 actividades pendientes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381"/>
          </w:tcPr>
          <w:p>
            <w:pPr>
              <w:spacing w:after="40"/>
              <w:jc w:val="center"/>
            </w:pPr>
            <w:r/>
            <w:r>
              <w:rPr>
                <w:b/>
                <w:sz w:val="16"/>
              </w:rPr>
              <w:t>Qué</w:t>
            </w:r>
          </w:p>
        </w:tc>
        <w:tc>
          <w:tcPr>
            <w:tcW w:type="dxa" w:w="2948"/>
          </w:tcPr>
          <w:p>
            <w:pPr>
              <w:spacing w:after="40"/>
              <w:jc w:val="center"/>
            </w:pPr>
            <w:r/>
            <w:r>
              <w:rPr>
                <w:b/>
                <w:sz w:val="16"/>
              </w:rPr>
              <w:t>Dónde</w:t>
            </w:r>
          </w:p>
        </w:tc>
        <w:tc>
          <w:tcPr>
            <w:tcW w:type="dxa" w:w="3742"/>
          </w:tcPr>
          <w:p>
            <w:pPr>
              <w:spacing w:after="40"/>
              <w:jc w:val="center"/>
            </w:pPr>
            <w:r/>
            <w:r>
              <w:rPr>
                <w:b/>
                <w:sz w:val="16"/>
              </w:rPr>
              <w:t>Criterio</w:t>
            </w:r>
          </w:p>
        </w:tc>
      </w:tr>
      <w:tr>
        <w:tc>
          <w:tcPr>
            <w:tcW w:type="dxa" w:w="2381"/>
          </w:tcPr>
          <w:p>
            <w:pPr>
              <w:spacing w:after="40"/>
            </w:pPr>
            <w:r/>
            <w:r>
              <w:rPr>
                <w:sz w:val="16"/>
              </w:rPr>
              <w:t>Assets de entorno en lugar de modelado propio</w:t>
            </w:r>
          </w:p>
        </w:tc>
        <w:tc>
          <w:tcPr>
            <w:tcW w:type="dxa" w:w="2948"/>
          </w:tcPr>
          <w:p>
            <w:pPr>
              <w:spacing w:after="40"/>
            </w:pPr>
            <w:r/>
            <w:r>
              <w:rPr>
                <w:sz w:val="16"/>
              </w:rPr>
              <w:t>Poly Pizza, Kenney.nl, Unity Asset Store filtrando por gratuitos, y Sketchfab filtrando por CC0.</w:t>
            </w:r>
          </w:p>
        </w:tc>
        <w:tc>
          <w:tcPr>
            <w:tcW w:type="dxa" w:w="3742"/>
          </w:tcPr>
          <w:p>
            <w:pPr>
              <w:spacing w:after="40"/>
            </w:pPr>
            <w:r/>
            <w:r>
              <w:rPr>
                <w:sz w:val="16"/>
              </w:rPr>
              <w:t>Low poly, licencia CC0 o CC BY explícita, y que el conjunto de la escena quepa en menos de 300 000 triángulos.</w:t>
            </w:r>
          </w:p>
        </w:tc>
      </w:tr>
      <w:tr>
        <w:tc>
          <w:tcPr>
            <w:tcW w:type="dxa" w:w="2381"/>
          </w:tcPr>
          <w:p>
            <w:pPr>
              <w:spacing w:after="40"/>
            </w:pPr>
            <w:r/>
            <w:r>
              <w:rPr>
                <w:sz w:val="16"/>
              </w:rPr>
              <w:t>Presupuesto de rendimiento en Quest</w:t>
            </w:r>
          </w:p>
        </w:tc>
        <w:tc>
          <w:tcPr>
            <w:tcW w:type="dxa" w:w="2948"/>
          </w:tcPr>
          <w:p>
            <w:pPr>
              <w:spacing w:after="40"/>
            </w:pPr>
            <w:r/>
            <w:r>
              <w:rPr>
                <w:sz w:val="16"/>
              </w:rPr>
              <w:t>Ya está escrito en el diseño técnico del proyecto.</w:t>
            </w:r>
          </w:p>
        </w:tc>
        <w:tc>
          <w:tcPr>
            <w:tcW w:type="dxa" w:w="3742"/>
          </w:tcPr>
          <w:p>
            <w:pPr>
              <w:spacing w:after="40"/>
            </w:pPr>
            <w:r/>
            <w:r>
              <w:rPr>
                <w:sz w:val="16"/>
              </w:rPr>
              <w:t>Menos de 500 draw calls, menos de 300 000 triángulos, texturas ASTC, iluminación bakeada sin GI en tiempo real, single-pass instanced.</w:t>
            </w:r>
          </w:p>
        </w:tc>
      </w:tr>
      <w:tr>
        <w:tc>
          <w:tcPr>
            <w:tcW w:type="dxa" w:w="2381"/>
          </w:tcPr>
          <w:p>
            <w:pPr>
              <w:spacing w:after="40"/>
            </w:pPr>
            <w:r/>
            <w:r>
              <w:rPr>
                <w:sz w:val="16"/>
              </w:rPr>
              <w:t>Registro de licencias</w:t>
            </w:r>
          </w:p>
        </w:tc>
        <w:tc>
          <w:tcPr>
            <w:tcW w:type="dxa" w:w="2948"/>
          </w:tcPr>
          <w:p>
            <w:pPr>
              <w:spacing w:after="40"/>
            </w:pPr>
            <w:r/>
            <w:r>
              <w:rPr>
                <w:sz w:val="16"/>
              </w:rPr>
              <w:t>Mismo criterio que se usó con el pack de percusión.</w:t>
            </w:r>
          </w:p>
        </w:tc>
        <w:tc>
          <w:tcPr>
            <w:tcW w:type="dxa" w:w="3742"/>
          </w:tcPr>
          <w:p>
            <w:pPr>
              <w:spacing w:after="40"/>
            </w:pPr>
            <w:r/>
            <w:r>
              <w:rPr>
                <w:sz w:val="16"/>
              </w:rPr>
              <w:t>La atribución se escribe al descargar, no al final. Un asset sin licencia localizable no entra.</w:t>
            </w:r>
          </w:p>
        </w:tc>
      </w:tr>
    </w:tbl>
    <w:p>
      <w:pPr>
        <w:spacing w:after="40"/>
      </w:pPr>
    </w:p>
    <w:p>
      <w:pPr>
        <w:pStyle w:val="Heading2"/>
      </w:pPr>
      <w:r>
        <w:t>Diana — 42 actividades pendientes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381"/>
          </w:tcPr>
          <w:p>
            <w:pPr>
              <w:spacing w:after="40"/>
              <w:jc w:val="center"/>
            </w:pPr>
            <w:r/>
            <w:r>
              <w:rPr>
                <w:b/>
                <w:sz w:val="16"/>
              </w:rPr>
              <w:t>Qué</w:t>
            </w:r>
          </w:p>
        </w:tc>
        <w:tc>
          <w:tcPr>
            <w:tcW w:type="dxa" w:w="2948"/>
          </w:tcPr>
          <w:p>
            <w:pPr>
              <w:spacing w:after="40"/>
              <w:jc w:val="center"/>
            </w:pPr>
            <w:r/>
            <w:r>
              <w:rPr>
                <w:b/>
                <w:sz w:val="16"/>
              </w:rPr>
              <w:t>Dónde</w:t>
            </w:r>
          </w:p>
        </w:tc>
        <w:tc>
          <w:tcPr>
            <w:tcW w:type="dxa" w:w="3742"/>
          </w:tcPr>
          <w:p>
            <w:pPr>
              <w:spacing w:after="40"/>
              <w:jc w:val="center"/>
            </w:pPr>
            <w:r/>
            <w:r>
              <w:rPr>
                <w:b/>
                <w:sz w:val="16"/>
              </w:rPr>
              <w:t>Criterio</w:t>
            </w:r>
          </w:p>
        </w:tc>
      </w:tr>
      <w:tr>
        <w:tc>
          <w:tcPr>
            <w:tcW w:type="dxa" w:w="2381"/>
          </w:tcPr>
          <w:p>
            <w:pPr>
              <w:spacing w:after="40"/>
            </w:pPr>
            <w:r/>
            <w:r>
              <w:rPr>
                <w:sz w:val="16"/>
              </w:rPr>
              <w:t>Plantilla de plan de pruebas</w:t>
            </w:r>
          </w:p>
        </w:tc>
        <w:tc>
          <w:tcPr>
            <w:tcW w:type="dxa" w:w="2948"/>
          </w:tcPr>
          <w:p>
            <w:pPr>
              <w:spacing w:after="40"/>
            </w:pPr>
            <w:r/>
            <w:r>
              <w:rPr>
                <w:sz w:val="16"/>
              </w:rPr>
              <w:t>El protocolo de medición de latencia del proyecto sirve de modelo.</w:t>
            </w:r>
          </w:p>
        </w:tc>
        <w:tc>
          <w:tcPr>
            <w:tcW w:type="dxa" w:w="3742"/>
          </w:tcPr>
          <w:p>
            <w:pPr>
              <w:spacing w:after="40"/>
            </w:pPr>
            <w:r/>
            <w:r>
              <w:rPr>
                <w:sz w:val="16"/>
              </w:rPr>
              <w:t>Montaje, criterio de aceptación numérico, procedimiento y veredicto. Un plan sin criterio numérico no se puede aprobar ni reprobar.</w:t>
            </w:r>
          </w:p>
        </w:tc>
      </w:tr>
      <w:tr>
        <w:tc>
          <w:tcPr>
            <w:tcW w:type="dxa" w:w="2381"/>
          </w:tcPr>
          <w:p>
            <w:pPr>
              <w:spacing w:after="40"/>
            </w:pPr>
            <w:r/>
            <w:r>
              <w:rPr>
                <w:sz w:val="16"/>
              </w:rPr>
              <w:t>Estructura del informe final</w:t>
            </w:r>
          </w:p>
        </w:tc>
        <w:tc>
          <w:tcPr>
            <w:tcW w:type="dxa" w:w="2948"/>
          </w:tcPr>
          <w:p>
            <w:pPr>
              <w:spacing w:after="40"/>
            </w:pPr>
            <w:r/>
            <w:r>
              <w:rPr>
                <w:sz w:val="16"/>
              </w:rPr>
              <w:t>Es la cola crítica del proyecto: nada la sigue.</w:t>
            </w:r>
          </w:p>
        </w:tc>
        <w:tc>
          <w:tcPr>
            <w:tcW w:type="dxa" w:w="3742"/>
          </w:tcPr>
          <w:p>
            <w:pPr>
              <w:spacing w:after="40"/>
            </w:pPr>
            <w:r/>
            <w:r>
              <w:rPr>
                <w:sz w:val="16"/>
              </w:rPr>
              <w:t>Arrancar el esqueleto ahora y llenarlo conforme cierran las áreas, en lugar de esperar a que todo termine.</w:t>
            </w:r>
          </w:p>
        </w:tc>
      </w:tr>
      <w:tr>
        <w:tc>
          <w:tcPr>
            <w:tcW w:type="dxa" w:w="2381"/>
          </w:tcPr>
          <w:p>
            <w:pPr>
              <w:spacing w:after="40"/>
            </w:pPr>
            <w:r/>
            <w:r>
              <w:rPr>
                <w:sz w:val="16"/>
              </w:rPr>
              <w:t>Builds verificables</w:t>
            </w:r>
          </w:p>
        </w:tc>
        <w:tc>
          <w:tcPr>
            <w:tcW w:type="dxa" w:w="2948"/>
          </w:tcPr>
          <w:p>
            <w:pPr>
              <w:spacing w:after="40"/>
            </w:pPr>
            <w:r/>
            <w:r>
              <w:rPr>
                <w:sz w:val="16"/>
              </w:rPr>
              <w:t>El proyecto ya tiene un comando de compilación que valida la configuración.</w:t>
            </w:r>
          </w:p>
        </w:tc>
        <w:tc>
          <w:tcPr>
            <w:tcW w:type="dxa" w:w="3742"/>
          </w:tcPr>
          <w:p>
            <w:pPr>
              <w:spacing w:after="40"/>
            </w:pPr>
            <w:r/>
            <w:r>
              <w:rPr>
                <w:sz w:val="16"/>
              </w:rPr>
              <w:t>Comprueba IL2CPP, ARM64 y Vulkan antes de compilar, y se detiene si alguno no cuadra.</w:t>
            </w:r>
          </w:p>
        </w:tc>
      </w:tr>
    </w:tbl>
    <w:p>
      <w:pPr>
        <w:spacing w:after="40"/>
      </w:pPr>
    </w:p>
    <w:p>
      <w:pPr>
        <w:pStyle w:val="Heading2"/>
      </w:pPr>
      <w:r>
        <w:t>Sarai — 22 actividades pendientes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381"/>
          </w:tcPr>
          <w:p>
            <w:pPr>
              <w:spacing w:after="40"/>
              <w:jc w:val="center"/>
            </w:pPr>
            <w:r/>
            <w:r>
              <w:rPr>
                <w:b/>
                <w:sz w:val="16"/>
              </w:rPr>
              <w:t>Qué</w:t>
            </w:r>
          </w:p>
        </w:tc>
        <w:tc>
          <w:tcPr>
            <w:tcW w:type="dxa" w:w="2948"/>
          </w:tcPr>
          <w:p>
            <w:pPr>
              <w:spacing w:after="40"/>
              <w:jc w:val="center"/>
            </w:pPr>
            <w:r/>
            <w:r>
              <w:rPr>
                <w:b/>
                <w:sz w:val="16"/>
              </w:rPr>
              <w:t>Dónde</w:t>
            </w:r>
          </w:p>
        </w:tc>
        <w:tc>
          <w:tcPr>
            <w:tcW w:type="dxa" w:w="3742"/>
          </w:tcPr>
          <w:p>
            <w:pPr>
              <w:spacing w:after="40"/>
              <w:jc w:val="center"/>
            </w:pPr>
            <w:r/>
            <w:r>
              <w:rPr>
                <w:b/>
                <w:sz w:val="16"/>
              </w:rPr>
              <w:t>Criterio</w:t>
            </w:r>
          </w:p>
        </w:tc>
      </w:tr>
      <w:tr>
        <w:tc>
          <w:tcPr>
            <w:tcW w:type="dxa" w:w="2381"/>
          </w:tcPr>
          <w:p>
            <w:pPr>
              <w:spacing w:after="40"/>
            </w:pPr>
            <w:r/>
            <w:r>
              <w:rPr>
                <w:sz w:val="16"/>
              </w:rPr>
              <w:t>Interfaz world-space en Unity</w:t>
            </w:r>
          </w:p>
        </w:tc>
        <w:tc>
          <w:tcPr>
            <w:tcW w:type="dxa" w:w="2948"/>
          </w:tcPr>
          <w:p>
            <w:pPr>
              <w:spacing w:after="40"/>
            </w:pPr>
            <w:r/>
            <w:r>
              <w:rPr>
                <w:sz w:val="16"/>
              </w:rPr>
              <w:t>El indicador de golpes del prototipo ya es un ejemplo funcionando.</w:t>
            </w:r>
          </w:p>
        </w:tc>
        <w:tc>
          <w:tcPr>
            <w:tcW w:type="dxa" w:w="3742"/>
          </w:tcPr>
          <w:p>
            <w:pPr>
              <w:spacing w:after="40"/>
            </w:pPr>
            <w:r/>
            <w:r>
              <w:rPr>
                <w:sz w:val="16"/>
              </w:rPr>
              <w:t>TextMeshPro 3D: el tamaño de fuente va en METROS, no en puntos. Conviene el autoajuste, porque el texto de prueba engaña sobre el tamaño real.</w:t>
            </w:r>
          </w:p>
        </w:tc>
      </w:tr>
      <w:tr>
        <w:tc>
          <w:tcPr>
            <w:tcW w:type="dxa" w:w="2381"/>
          </w:tcPr>
          <w:p>
            <w:pPr>
              <w:spacing w:after="40"/>
            </w:pPr>
            <w:r/>
            <w:r>
              <w:rPr>
                <w:sz w:val="16"/>
              </w:rPr>
              <w:t>Corrección de contraste antes de implementar</w:t>
            </w:r>
          </w:p>
        </w:tc>
        <w:tc>
          <w:tcPr>
            <w:tcW w:type="dxa" w:w="2948"/>
          </w:tcPr>
          <w:p>
            <w:pPr>
              <w:spacing w:after="40"/>
            </w:pPr>
            <w:r/>
            <w:r>
              <w:rPr>
                <w:sz w:val="16"/>
              </w:rPr>
              <w:t>El análisis ya está hecho.</w:t>
            </w:r>
          </w:p>
        </w:tc>
        <w:tc>
          <w:tcPr>
            <w:tcW w:type="dxa" w:w="3742"/>
          </w:tcPr>
          <w:p>
            <w:pPr>
              <w:spacing w:after="40"/>
            </w:pPr>
            <w:r/>
            <w:r>
              <w:rPr>
                <w:sz w:val="16"/>
              </w:rPr>
              <w:t>Invertir la paleta para los paneles: fondo oscuro y texto claro. Los pasteles funcionan en el entorno 3D, no sobre un panel que emite luz a los ojos.</w:t>
            </w:r>
          </w:p>
        </w:tc>
      </w:tr>
      <w:tr>
        <w:tc>
          <w:tcPr>
            <w:tcW w:type="dxa" w:w="2381"/>
          </w:tcPr>
          <w:p>
            <w:pPr>
              <w:spacing w:after="40"/>
            </w:pPr>
            <w:r/>
            <w:r>
              <w:rPr>
                <w:sz w:val="16"/>
              </w:rPr>
              <w:t>Interacción con mando</w:t>
            </w:r>
          </w:p>
        </w:tc>
        <w:tc>
          <w:tcPr>
            <w:tcW w:type="dxa" w:w="2948"/>
          </w:tcPr>
          <w:p>
            <w:pPr>
              <w:spacing w:after="40"/>
            </w:pPr>
            <w:r/>
            <w:r>
              <w:rPr>
                <w:sz w:val="16"/>
              </w:rPr>
              <w:t>XR Interaction Toolkit, componentes de ray interactor.</w:t>
            </w:r>
          </w:p>
        </w:tc>
        <w:tc>
          <w:tcPr>
            <w:tcW w:type="dxa" w:w="3742"/>
          </w:tcPr>
          <w:p>
            <w:pPr>
              <w:spacing w:after="40"/>
            </w:pPr>
            <w:r/>
            <w:r>
              <w:rPr>
                <w:sz w:val="16"/>
              </w:rPr>
              <w:t>Botones grandes, apuntables a distancia. Ya está en los diseños.</w:t>
            </w:r>
          </w:p>
        </w:tc>
      </w:tr>
    </w:tbl>
    <w:p>
      <w:pPr>
        <w:spacing w:after="40"/>
      </w:pPr>
    </w:p>
    <w:p>
      <w:pPr>
        <w:pStyle w:val="Heading2"/>
      </w:pPr>
      <w:r>
        <w:t>Javier — 18 actividades pendientes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381"/>
          </w:tcPr>
          <w:p>
            <w:pPr>
              <w:spacing w:after="40"/>
              <w:jc w:val="center"/>
            </w:pPr>
            <w:r/>
            <w:r>
              <w:rPr>
                <w:b/>
                <w:sz w:val="16"/>
              </w:rPr>
              <w:t>Qué</w:t>
            </w:r>
          </w:p>
        </w:tc>
        <w:tc>
          <w:tcPr>
            <w:tcW w:type="dxa" w:w="2948"/>
          </w:tcPr>
          <w:p>
            <w:pPr>
              <w:spacing w:after="40"/>
              <w:jc w:val="center"/>
            </w:pPr>
            <w:r/>
            <w:r>
              <w:rPr>
                <w:b/>
                <w:sz w:val="16"/>
              </w:rPr>
              <w:t>Dónde</w:t>
            </w:r>
          </w:p>
        </w:tc>
        <w:tc>
          <w:tcPr>
            <w:tcW w:type="dxa" w:w="3742"/>
          </w:tcPr>
          <w:p>
            <w:pPr>
              <w:spacing w:after="40"/>
              <w:jc w:val="center"/>
            </w:pPr>
            <w:r/>
            <w:r>
              <w:rPr>
                <w:b/>
                <w:sz w:val="16"/>
              </w:rPr>
              <w:t>Criterio</w:t>
            </w:r>
          </w:p>
        </w:tc>
      </w:tr>
      <w:tr>
        <w:tc>
          <w:tcPr>
            <w:tcW w:type="dxa" w:w="2381"/>
          </w:tcPr>
          <w:p>
            <w:pPr>
              <w:spacing w:after="40"/>
            </w:pPr>
            <w:r/>
            <w:r>
              <w:rPr>
                <w:sz w:val="16"/>
              </w:rPr>
              <w:t>BPM exacto de las pistas</w:t>
            </w:r>
          </w:p>
        </w:tc>
        <w:tc>
          <w:tcPr>
            <w:tcW w:type="dxa" w:w="2948"/>
          </w:tcPr>
          <w:p>
            <w:pPr>
              <w:spacing w:after="40"/>
            </w:pPr>
            <w:r/>
            <w:r>
              <w:rPr>
                <w:sz w:val="16"/>
              </w:rPr>
              <w:t>Bloquea el juego de ritmo. Es lo primero.</w:t>
            </w:r>
          </w:p>
        </w:tc>
        <w:tc>
          <w:tcPr>
            <w:tcW w:type="dxa" w:w="3742"/>
          </w:tcPr>
          <w:p>
            <w:pPr>
              <w:spacing w:after="40"/>
            </w:pPr>
            <w:r/>
            <w:r>
              <w:rPr>
                <w:sz w:val="16"/>
              </w:rPr>
              <w:t>Un beatmap sin BPM exacto se desincroniza a los pocos compases.</w:t>
            </w:r>
          </w:p>
        </w:tc>
      </w:tr>
      <w:tr>
        <w:tc>
          <w:tcPr>
            <w:tcW w:type="dxa" w:w="2381"/>
          </w:tcPr>
          <w:p>
            <w:pPr>
              <w:spacing w:after="40"/>
            </w:pPr>
            <w:r/>
            <w:r>
              <w:rPr>
                <w:sz w:val="16"/>
              </w:rPr>
              <w:t>Estilos musicales anclados al acta</w:t>
            </w:r>
          </w:p>
        </w:tc>
        <w:tc>
          <w:tcPr>
            <w:tcW w:type="dxa" w:w="2948"/>
          </w:tcPr>
          <w:p>
            <w:pPr>
              <w:spacing w:after="40"/>
            </w:pPr>
            <w:r/>
            <w:r>
              <w:rPr>
                <w:sz w:val="16"/>
              </w:rPr>
              <w:t>El acta define el iso-principio como marco.</w:t>
            </w:r>
          </w:p>
        </w:tc>
        <w:tc>
          <w:tcPr>
            <w:tcW w:type="dxa" w:w="3742"/>
          </w:tcPr>
          <w:p>
            <w:pPr>
              <w:spacing w:after="40"/>
            </w:pPr>
            <w:r/>
            <w:r>
              <w:rPr>
                <w:sz w:val="16"/>
              </w:rPr>
              <w:t>La sesión arranca en el tempo espontáneo del usuario y desciende hasta 60 BPM. Los estilos deben admitir ese descenso.</w:t>
            </w:r>
          </w:p>
        </w:tc>
      </w:tr>
      <w:tr>
        <w:tc>
          <w:tcPr>
            <w:tcW w:type="dxa" w:w="2381"/>
          </w:tcPr>
          <w:p>
            <w:pPr>
              <w:spacing w:after="40"/>
            </w:pPr>
            <w:r/>
            <w:r>
              <w:rPr>
                <w:sz w:val="16"/>
              </w:rPr>
              <w:t>Licencias de las pistas</w:t>
            </w:r>
          </w:p>
        </w:tc>
        <w:tc>
          <w:tcPr>
            <w:tcW w:type="dxa" w:w="2948"/>
          </w:tcPr>
          <w:p>
            <w:pPr>
              <w:spacing w:after="40"/>
            </w:pPr>
            <w:r/>
            <w:r>
              <w:rPr>
                <w:sz w:val="16"/>
              </w:rPr>
              <w:t>Mismo criterio que el resto de los recursos.</w:t>
            </w:r>
          </w:p>
        </w:tc>
        <w:tc>
          <w:tcPr>
            <w:tcW w:type="dxa" w:w="3742"/>
          </w:tcPr>
          <w:p>
            <w:pPr>
              <w:spacing w:after="40"/>
            </w:pPr>
            <w:r/>
            <w:r>
              <w:rPr>
                <w:sz w:val="16"/>
              </w:rPr>
              <w:t>CC0 o CC BY con atribución escrita. Nada de uso incierto.</w:t>
            </w:r>
          </w:p>
        </w:tc>
      </w:tr>
    </w:tbl>
    <w:p>
      <w:pPr>
        <w:spacing w:after="40"/>
      </w:pPr>
    </w:p>
    <w:p>
      <w:pPr>
        <w:pStyle w:val="Heading2"/>
      </w:pPr>
      <w:r>
        <w:t>Christian — 22 actividades pendientes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381"/>
          </w:tcPr>
          <w:p>
            <w:pPr>
              <w:spacing w:after="40"/>
              <w:jc w:val="center"/>
            </w:pPr>
            <w:r/>
            <w:r>
              <w:rPr>
                <w:b/>
                <w:sz w:val="16"/>
              </w:rPr>
              <w:t>Qué</w:t>
            </w:r>
          </w:p>
        </w:tc>
        <w:tc>
          <w:tcPr>
            <w:tcW w:type="dxa" w:w="2948"/>
          </w:tcPr>
          <w:p>
            <w:pPr>
              <w:spacing w:after="40"/>
              <w:jc w:val="center"/>
            </w:pPr>
            <w:r/>
            <w:r>
              <w:rPr>
                <w:b/>
                <w:sz w:val="16"/>
              </w:rPr>
              <w:t>Dónde</w:t>
            </w:r>
          </w:p>
        </w:tc>
        <w:tc>
          <w:tcPr>
            <w:tcW w:type="dxa" w:w="3742"/>
          </w:tcPr>
          <w:p>
            <w:pPr>
              <w:spacing w:after="40"/>
              <w:jc w:val="center"/>
            </w:pPr>
            <w:r/>
            <w:r>
              <w:rPr>
                <w:b/>
                <w:sz w:val="16"/>
              </w:rPr>
              <w:t>Criterio</w:t>
            </w:r>
          </w:p>
        </w:tc>
      </w:tr>
      <w:tr>
        <w:tc>
          <w:tcPr>
            <w:tcW w:type="dxa" w:w="2381"/>
          </w:tcPr>
          <w:p>
            <w:pPr>
              <w:spacing w:after="40"/>
            </w:pPr>
            <w:r/>
            <w:r>
              <w:rPr>
                <w:sz w:val="16"/>
              </w:rPr>
              <w:t>Conseguir un crash</w:t>
            </w:r>
          </w:p>
        </w:tc>
        <w:tc>
          <w:tcPr>
            <w:tcW w:type="dxa" w:w="2948"/>
          </w:tcPr>
          <w:p>
            <w:pPr>
              <w:spacing w:after="40"/>
            </w:pPr>
            <w:r/>
            <w:r>
              <w:rPr>
                <w:sz w:val="16"/>
              </w:rPr>
              <w:t>Es lo único que falta del kit.</w:t>
            </w:r>
          </w:p>
        </w:tc>
        <w:tc>
          <w:tcPr>
            <w:tcW w:type="dxa" w:w="3742"/>
          </w:tcPr>
          <w:p>
            <w:pPr>
              <w:spacing w:after="40"/>
            </w:pPr>
            <w:r/>
            <w:r>
              <w:rPr>
                <w:sz w:val="16"/>
              </w:rPr>
              <w:t>48 kHz, licencia explícita. Alternativa ya documentada: usar el ride como sexta pieza, que es lo que hace el prototipo actual.</w:t>
            </w:r>
          </w:p>
        </w:tc>
      </w:tr>
      <w:tr>
        <w:tc>
          <w:tcPr>
            <w:tcW w:type="dxa" w:w="2381"/>
          </w:tcPr>
          <w:p>
            <w:pPr>
              <w:spacing w:after="40"/>
            </w:pPr>
            <w:r/>
            <w:r>
              <w:rPr>
                <w:sz w:val="16"/>
              </w:rPr>
              <w:t>Audio Mixer, con reserva</w:t>
            </w:r>
          </w:p>
        </w:tc>
        <w:tc>
          <w:tcPr>
            <w:tcW w:type="dxa" w:w="2948"/>
          </w:tcPr>
          <w:p>
            <w:pPr>
              <w:spacing w:after="40"/>
            </w:pPr>
            <w:r/>
            <w:r>
              <w:rPr>
                <w:sz w:val="16"/>
              </w:rPr>
              <w:t>Un mixer añade un nodo al camino del audio.</w:t>
            </w:r>
          </w:p>
        </w:tc>
        <w:tc>
          <w:tcPr>
            <w:tcW w:type="dxa" w:w="3742"/>
          </w:tcPr>
          <w:p>
            <w:pPr>
              <w:spacing w:after="40"/>
            </w:pPr>
            <w:r/>
            <w:r>
              <w:rPr>
                <w:sz w:val="16"/>
              </w:rPr>
              <w:t>Si se implementa, hay que volver a medir la latencia con el protocolo del proyecto. El hito Go/No-Go se midió sin mixer.</w:t>
            </w:r>
          </w:p>
        </w:tc>
      </w:tr>
      <w:tr>
        <w:tc>
          <w:tcPr>
            <w:tcW w:type="dxa" w:w="2381"/>
          </w:tcPr>
          <w:p>
            <w:pPr>
              <w:spacing w:after="40"/>
            </w:pPr>
            <w:r/>
            <w:r>
              <w:rPr>
                <w:sz w:val="16"/>
              </w:rPr>
              <w:t>Verificar lo ya integrado</w:t>
            </w:r>
          </w:p>
        </w:tc>
        <w:tc>
          <w:tcPr>
            <w:tcW w:type="dxa" w:w="2948"/>
          </w:tcPr>
          <w:p>
            <w:pPr>
              <w:spacing w:after="40"/>
            </w:pPr>
            <w:r/>
            <w:r>
              <w:rPr>
                <w:sz w:val="16"/>
              </w:rPr>
              <w:t>Antes de trabajar, comprobar qué está hecho.</w:t>
            </w:r>
          </w:p>
        </w:tc>
        <w:tc>
          <w:tcPr>
            <w:tcW w:type="dxa" w:w="3742"/>
          </w:tcPr>
          <w:p>
            <w:pPr>
              <w:spacing w:after="40"/>
            </w:pPr>
            <w:r/>
            <w:r>
              <w:rPr>
                <w:sz w:val="16"/>
              </w:rPr>
              <w:t>La integración con DrumHit y la normalización de muestras ya están.</w:t>
            </w:r>
          </w:p>
        </w:tc>
      </w:tr>
    </w:tbl>
    <w:p>
      <w:pPr>
        <w:spacing w:after="40"/>
      </w:pPr>
    </w:p>
    <w:p>
      <w:pPr>
        <w:pStyle w:val="Heading2"/>
      </w:pPr>
      <w:r>
        <w:t>María — 1 actividades pendientes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381"/>
          </w:tcPr>
          <w:p>
            <w:pPr>
              <w:spacing w:after="40"/>
              <w:jc w:val="center"/>
            </w:pPr>
            <w:r/>
            <w:r>
              <w:rPr>
                <w:b/>
                <w:sz w:val="16"/>
              </w:rPr>
              <w:t>Qué</w:t>
            </w:r>
          </w:p>
        </w:tc>
        <w:tc>
          <w:tcPr>
            <w:tcW w:type="dxa" w:w="2948"/>
          </w:tcPr>
          <w:p>
            <w:pPr>
              <w:spacing w:after="40"/>
              <w:jc w:val="center"/>
            </w:pPr>
            <w:r/>
            <w:r>
              <w:rPr>
                <w:b/>
                <w:sz w:val="16"/>
              </w:rPr>
              <w:t>Dónde</w:t>
            </w:r>
          </w:p>
        </w:tc>
        <w:tc>
          <w:tcPr>
            <w:tcW w:type="dxa" w:w="3742"/>
          </w:tcPr>
          <w:p>
            <w:pPr>
              <w:spacing w:after="40"/>
              <w:jc w:val="center"/>
            </w:pPr>
            <w:r/>
            <w:r>
              <w:rPr>
                <w:b/>
                <w:sz w:val="16"/>
              </w:rPr>
              <w:t>Criterio</w:t>
            </w:r>
          </w:p>
        </w:tc>
      </w:tr>
      <w:tr>
        <w:tc>
          <w:tcPr>
            <w:tcW w:type="dxa" w:w="2381"/>
          </w:tcPr>
          <w:p>
            <w:pPr>
              <w:spacing w:after="40"/>
            </w:pPr>
            <w:r/>
            <w:r>
              <w:rPr>
                <w:sz w:val="16"/>
              </w:rPr>
              <w:t>Actualizar la fundamentación al prototipo real</w:t>
            </w:r>
          </w:p>
        </w:tc>
        <w:tc>
          <w:tcPr>
            <w:tcW w:type="dxa" w:w="2948"/>
          </w:tcPr>
          <w:p>
            <w:pPr>
              <w:spacing w:after="40"/>
            </w:pPr>
            <w:r/>
            <w:r>
              <w:rPr>
                <w:sz w:val="16"/>
              </w:rPr>
              <w:t>Es su única tarea pendiente.</w:t>
            </w:r>
          </w:p>
        </w:tc>
        <w:tc>
          <w:tcPr>
            <w:tcW w:type="dxa" w:w="3742"/>
          </w:tcPr>
          <w:p>
            <w:pPr>
              <w:spacing w:after="40"/>
            </w:pPr>
            <w:r/>
            <w:r>
              <w:rPr>
                <w:sz w:val="16"/>
              </w:rPr>
              <w:t>El prototipo mide precisión temporal e intensidad de golpe. La fundamentación debe apoyarse en lo que el sistema realmente registra.</w:t>
            </w:r>
          </w:p>
        </w:tc>
      </w:tr>
    </w:tbl>
    <w:p>
      <w:pPr>
        <w:spacing w:after="40"/>
      </w:pPr>
    </w:p>
    <w:p>
      <w:pPr>
        <w:pStyle w:val="Heading1"/>
      </w:pPr>
      <w:r>
        <w:t>7. Situación del proyecto</w:t>
      </w:r>
    </w:p>
    <w:tbl>
      <w:tblPr>
        <w:tblStyle w:val="TableGrid"/>
        <w:tblW w:type="auto" w:w="0"/>
        <w:jc w:val="center"/>
        <w:tblLayout w:type="fixed"/>
        <w:tblLook w:firstColumn="1" w:firstRow="1" w:lastColumn="0" w:lastRow="0" w:noHBand="0" w:noVBand="1" w:val="04A0"/>
      </w:tblPr>
      <w:tblGrid>
        <w:gridCol w:w="4703"/>
        <w:gridCol w:w="4703"/>
      </w:tblGrid>
      <w:tr>
        <w:tc>
          <w:tcPr>
            <w:tcW w:type="dxa" w:w="3969"/>
          </w:tcPr>
          <w:p>
            <w:pPr>
              <w:spacing w:after="40"/>
              <w:jc w:val="center"/>
            </w:pPr>
            <w:r/>
            <w:r>
              <w:rPr>
                <w:b/>
                <w:sz w:val="18"/>
              </w:rPr>
              <w:t>Concepto</w:t>
            </w:r>
          </w:p>
        </w:tc>
        <w:tc>
          <w:tcPr>
            <w:tcW w:type="dxa" w:w="5102"/>
          </w:tcPr>
          <w:p>
            <w:pPr>
              <w:spacing w:after="40"/>
              <w:jc w:val="center"/>
            </w:pPr>
            <w:r/>
            <w:r>
              <w:rPr>
                <w:b/>
                <w:sz w:val="18"/>
              </w:rPr>
              <w:t>Valor</w:t>
            </w:r>
          </w:p>
        </w:tc>
      </w:tr>
      <w:tr>
        <w:tc>
          <w:tcPr>
            <w:tcW w:type="dxa" w:w="3969"/>
          </w:tcPr>
          <w:p>
            <w:pPr>
              <w:spacing w:after="40"/>
            </w:pPr>
            <w:r/>
            <w:r>
              <w:rPr>
                <w:sz w:val="18"/>
              </w:rPr>
              <w:t>Avance registrado</w:t>
            </w:r>
          </w:p>
        </w:tc>
        <w:tc>
          <w:tcPr>
            <w:tcW w:type="dxa" w:w="5102"/>
          </w:tcPr>
          <w:p>
            <w:pPr>
              <w:spacing w:after="40"/>
            </w:pPr>
            <w:r/>
            <w:r>
              <w:rPr>
                <w:sz w:val="18"/>
              </w:rPr>
              <w:t>77 de 257 actividades (30 %)</w:t>
            </w:r>
          </w:p>
        </w:tc>
      </w:tr>
      <w:tr>
        <w:tc>
          <w:tcPr>
            <w:tcW w:type="dxa" w:w="3969"/>
          </w:tcPr>
          <w:p>
            <w:pPr>
              <w:spacing w:after="40"/>
            </w:pPr>
            <w:r/>
            <w:r>
              <w:rPr>
                <w:sz w:val="18"/>
              </w:rPr>
              <w:t>Días hábiles al cierre del cronograma</w:t>
            </w:r>
          </w:p>
        </w:tc>
        <w:tc>
          <w:tcPr>
            <w:tcW w:type="dxa" w:w="5102"/>
          </w:tcPr>
          <w:p>
            <w:pPr>
              <w:spacing w:after="40"/>
            </w:pPr>
            <w:r/>
            <w:r>
              <w:rPr>
                <w:sz w:val="18"/>
              </w:rPr>
              <w:t>18 (30 de octubre)</w:t>
            </w:r>
          </w:p>
        </w:tc>
      </w:tr>
      <w:tr>
        <w:tc>
          <w:tcPr>
            <w:tcW w:type="dxa" w:w="3969"/>
          </w:tcPr>
          <w:p>
            <w:pPr>
              <w:spacing w:after="40"/>
            </w:pPr>
            <w:r/>
            <w:r>
              <w:rPr>
                <w:sz w:val="18"/>
              </w:rPr>
              <w:t>Días hábiles al cierre del periodo</w:t>
            </w:r>
          </w:p>
        </w:tc>
        <w:tc>
          <w:tcPr>
            <w:tcW w:type="dxa" w:w="5102"/>
          </w:tcPr>
          <w:p>
            <w:pPr>
              <w:spacing w:after="40"/>
            </w:pPr>
            <w:r/>
            <w:r>
              <w:rPr>
                <w:sz w:val="18"/>
              </w:rPr>
              <w:t>28 (13 de noviembre)</w:t>
            </w:r>
          </w:p>
        </w:tc>
      </w:tr>
      <w:tr>
        <w:tc>
          <w:tcPr>
            <w:tcW w:type="dxa" w:w="3969"/>
          </w:tcPr>
          <w:p>
            <w:pPr>
              <w:spacing w:after="40"/>
            </w:pPr>
            <w:r/>
            <w:r>
              <w:rPr>
                <w:sz w:val="18"/>
              </w:rPr>
              <w:t>Reserva de gestión disponible</w:t>
            </w:r>
          </w:p>
        </w:tc>
        <w:tc>
          <w:tcPr>
            <w:tcW w:type="dxa" w:w="5102"/>
          </w:tcPr>
          <w:p>
            <w:pPr>
              <w:spacing w:after="40"/>
            </w:pPr>
            <w:r/>
            <w:r>
              <w:rPr>
                <w:sz w:val="18"/>
              </w:rPr>
              <w:t>10.75 días hábiles, más la semana del 16 al 20 de noviembre</w:t>
            </w:r>
          </w:p>
        </w:tc>
      </w:tr>
      <w:tr>
        <w:tc>
          <w:tcPr>
            <w:tcW w:type="dxa" w:w="3969"/>
          </w:tcPr>
          <w:p>
            <w:pPr>
              <w:spacing w:after="40"/>
            </w:pPr>
            <w:r/>
            <w:r>
              <w:rPr>
                <w:sz w:val="18"/>
              </w:rPr>
              <w:t>Actividades sin responsable tras la baja</w:t>
            </w:r>
          </w:p>
        </w:tc>
        <w:tc>
          <w:tcPr>
            <w:tcW w:type="dxa" w:w="5102"/>
          </w:tcPr>
          <w:p>
            <w:pPr>
              <w:spacing w:after="40"/>
            </w:pPr>
            <w:r/>
            <w:r>
              <w:rPr>
                <w:sz w:val="18"/>
              </w:rPr>
              <w:t>38</w:t>
            </w:r>
          </w:p>
        </w:tc>
      </w:tr>
      <w:tr>
        <w:tc>
          <w:tcPr>
            <w:tcW w:type="dxa" w:w="3969"/>
          </w:tcPr>
          <w:p>
            <w:pPr>
              <w:spacing w:after="40"/>
            </w:pPr>
            <w:r/>
            <w:r>
              <w:rPr>
                <w:sz w:val="18"/>
              </w:rPr>
              <w:t>Actividades reasignadas</w:t>
            </w:r>
          </w:p>
        </w:tc>
        <w:tc>
          <w:tcPr>
            <w:tcW w:type="dxa" w:w="5102"/>
          </w:tcPr>
          <w:p>
            <w:pPr>
              <w:spacing w:after="40"/>
            </w:pPr>
            <w:r/>
            <w:r>
              <w:rPr>
                <w:sz w:val="18"/>
              </w:rPr>
              <w:t>15</w:t>
            </w:r>
          </w:p>
        </w:tc>
      </w:tr>
      <w:tr>
        <w:tc>
          <w:tcPr>
            <w:tcW w:type="dxa" w:w="3969"/>
          </w:tcPr>
          <w:p>
            <w:pPr>
              <w:spacing w:after="40"/>
            </w:pPr>
            <w:r/>
            <w:r>
              <w:rPr>
                <w:sz w:val="18"/>
              </w:rPr>
              <w:t>Actividades recortadas del alcance</w:t>
            </w:r>
          </w:p>
        </w:tc>
        <w:tc>
          <w:tcPr>
            <w:tcW w:type="dxa" w:w="5102"/>
          </w:tcPr>
          <w:p>
            <w:pPr>
              <w:spacing w:after="40"/>
            </w:pPr>
            <w:r/>
            <w:r>
              <w:rPr>
                <w:sz w:val="18"/>
              </w:rPr>
              <w:t>23</w:t>
            </w:r>
          </w:p>
        </w:tc>
      </w:tr>
    </w:tbl>
    <w:p>
      <w:pPr>
        <w:spacing w:after="40"/>
      </w:pPr>
    </w:p>
    <w:p>
      <w:pPr>
        <w:spacing w:after="160"/>
        <w:jc w:val="both"/>
      </w:pPr>
      <w:r>
        <w:rPr>
          <w:b w:val="0"/>
          <w:i w:val="0"/>
        </w:rPr>
        <w:t>Conviene declararlo con claridad: 180 actividades pendientes en 18 días hábiles no caben al ritmo actual. Este documento recorta el alcance de un área. Si el ritmo de las demás no cambia, habrá que decidir entre recortar más alcance o consumir la reserva de gestión. Ambas decisiones son del equipo y se toman antes, no después.</w:t>
      </w:r>
    </w:p>
    <w:p>
      <w:pPr>
        <w:pStyle w:val="Heading1"/>
      </w:pPr>
      <w:r>
        <w:t>8. Acuerdos y firmas</w:t>
      </w:r>
    </w:p>
    <w:p>
      <w:pPr>
        <w:spacing w:after="160"/>
        <w:jc w:val="both"/>
      </w:pPr>
      <w:r>
        <w:rPr>
          <w:b w:val="0"/>
          <w:i w:val="0"/>
        </w:rPr>
        <w:t>El equipo acuerda lo contenido en este documento:</w:t>
      </w:r>
    </w:p>
    <w:p>
      <w:pPr>
        <w:pStyle w:val="ListBullet"/>
        <w:spacing w:after="60"/>
      </w:pPr>
      <w:r>
        <w:t>La dirección de proyecto y la titularidad del riesgo R14 pasan a la coordinación.</w:t>
      </w:r>
    </w:p>
    <w:p>
      <w:pPr>
        <w:pStyle w:val="ListBullet"/>
        <w:spacing w:after="60"/>
      </w:pPr>
      <w:r>
        <w:t>El área de juego de ritmo pasa a desarrollo VR, con el alcance recortado de la sección 3.</w:t>
      </w:r>
    </w:p>
    <w:p>
      <w:pPr>
        <w:pStyle w:val="ListBullet"/>
        <w:spacing w:after="60"/>
      </w:pPr>
      <w:r>
        <w:t>Cada área cuenta con un segundo conocedor designado, según la sección 4.</w:t>
      </w:r>
    </w:p>
    <w:p>
      <w:pPr>
        <w:pStyle w:val="ListBullet"/>
        <w:spacing w:after="60"/>
      </w:pPr>
      <w:r>
        <w:t>Cada responsable verifica la sección 5 antes de iniciar trabajo que pueda estar hecho.</w:t>
      </w:r>
    </w:p>
    <w:p>
      <w:pPr>
        <w:pStyle w:val="ListBullet"/>
        <w:spacing w:after="60"/>
      </w:pPr>
      <w:r>
        <w:t>El recorte de alcance se comunica a la docente como parte del informe de avance.</w:t>
      </w:r>
    </w:p>
    <w:p>
      <w:pPr>
        <w:spacing w:after="160"/>
        <w:jc w:val="both"/>
      </w:pPr>
      <w:r>
        <w:rPr>
          <w:b w:val="0"/>
          <w:i w:val="0"/>
        </w:rPr>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494"/>
          </w:tcPr>
          <w:p>
            <w:pPr>
              <w:spacing w:after="40"/>
              <w:jc w:val="center"/>
            </w:pPr>
            <w:r/>
            <w:r>
              <w:rPr>
                <w:b/>
                <w:sz w:val="18"/>
              </w:rPr>
              <w:t>Rol</w:t>
            </w:r>
          </w:p>
        </w:tc>
        <w:tc>
          <w:tcPr>
            <w:tcW w:type="dxa" w:w="3742"/>
          </w:tcPr>
          <w:p>
            <w:pPr>
              <w:spacing w:after="40"/>
              <w:jc w:val="center"/>
            </w:pPr>
            <w:r/>
            <w:r>
              <w:rPr>
                <w:b/>
                <w:sz w:val="18"/>
              </w:rPr>
              <w:t>Nombre</w:t>
            </w:r>
          </w:p>
        </w:tc>
        <w:tc>
          <w:tcPr>
            <w:tcW w:type="dxa" w:w="2835"/>
          </w:tcPr>
          <w:p>
            <w:pPr>
              <w:spacing w:after="40"/>
              <w:jc w:val="center"/>
            </w:pPr>
            <w:r/>
            <w:r>
              <w:rPr>
                <w:b/>
                <w:sz w:val="18"/>
              </w:rPr>
              <w:t>Firma</w:t>
            </w:r>
          </w:p>
        </w:tc>
      </w:tr>
      <w:tr>
        <w:tc>
          <w:tcPr>
            <w:tcW w:type="dxa" w:w="2494"/>
          </w:tcPr>
          <w:p>
            <w:pPr>
              <w:spacing w:after="40"/>
            </w:pPr>
            <w:r/>
            <w:r>
              <w:rPr>
                <w:sz w:val="18"/>
              </w:rPr>
              <w:t>Dirección de proyecto</w:t>
            </w:r>
          </w:p>
        </w:tc>
        <w:tc>
          <w:tcPr>
            <w:tcW w:type="dxa" w:w="3742"/>
          </w:tcPr>
          <w:p>
            <w:pPr>
              <w:spacing w:after="40"/>
            </w:pPr>
            <w:r/>
            <w:r>
              <w:rPr>
                <w:sz w:val="18"/>
              </w:rPr>
              <w:t>Sarai Galindo García</w:t>
            </w:r>
          </w:p>
        </w:tc>
        <w:tc>
          <w:tcPr>
            <w:tcW w:type="dxa" w:w="2835"/>
          </w:tcPr>
          <w:p>
            <w:pPr>
              <w:spacing w:after="40"/>
            </w:pPr>
            <w:r/>
            <w:r>
              <w:rPr>
                <w:sz w:val="18"/>
              </w:rPr>
              <w:t>__________________________</w:t>
            </w:r>
          </w:p>
        </w:tc>
      </w:tr>
      <w:tr>
        <w:tc>
          <w:tcPr>
            <w:tcW w:type="dxa" w:w="2494"/>
          </w:tcPr>
          <w:p>
            <w:pPr>
              <w:spacing w:after="40"/>
            </w:pPr>
            <w:r/>
            <w:r>
              <w:rPr>
                <w:sz w:val="18"/>
              </w:rPr>
              <w:t>Gerencia de proyecto</w:t>
            </w:r>
          </w:p>
        </w:tc>
        <w:tc>
          <w:tcPr>
            <w:tcW w:type="dxa" w:w="3742"/>
          </w:tcPr>
          <w:p>
            <w:pPr>
              <w:spacing w:after="40"/>
            </w:pPr>
            <w:r/>
            <w:r>
              <w:rPr>
                <w:sz w:val="18"/>
              </w:rPr>
              <w:t>Abiud Misael Benítez Franco</w:t>
            </w:r>
          </w:p>
        </w:tc>
        <w:tc>
          <w:tcPr>
            <w:tcW w:type="dxa" w:w="2835"/>
          </w:tcPr>
          <w:p>
            <w:pPr>
              <w:spacing w:after="40"/>
            </w:pPr>
            <w:r/>
            <w:r>
              <w:rPr>
                <w:sz w:val="18"/>
              </w:rPr>
              <w:t>__________________________</w:t>
            </w:r>
          </w:p>
        </w:tc>
      </w:tr>
      <w:tr>
        <w:tc>
          <w:tcPr>
            <w:tcW w:type="dxa" w:w="2494"/>
          </w:tcPr>
          <w:p>
            <w:pPr>
              <w:spacing w:after="40"/>
            </w:pPr>
            <w:r/>
            <w:r>
              <w:rPr>
                <w:sz w:val="18"/>
              </w:rPr>
              <w:t>QA y documentación</w:t>
            </w:r>
          </w:p>
        </w:tc>
        <w:tc>
          <w:tcPr>
            <w:tcW w:type="dxa" w:w="3742"/>
          </w:tcPr>
          <w:p>
            <w:pPr>
              <w:spacing w:after="40"/>
            </w:pPr>
            <w:r/>
            <w:r>
              <w:rPr>
                <w:sz w:val="18"/>
              </w:rPr>
              <w:t>Diana Laura Tello Salinas</w:t>
            </w:r>
          </w:p>
        </w:tc>
        <w:tc>
          <w:tcPr>
            <w:tcW w:type="dxa" w:w="2835"/>
          </w:tcPr>
          <w:p>
            <w:pPr>
              <w:spacing w:after="40"/>
            </w:pPr>
            <w:r/>
            <w:r>
              <w:rPr>
                <w:sz w:val="18"/>
              </w:rPr>
              <w:t>__________________________</w:t>
            </w:r>
          </w:p>
        </w:tc>
      </w:tr>
      <w:tr>
        <w:tc>
          <w:tcPr>
            <w:tcW w:type="dxa" w:w="2494"/>
          </w:tcPr>
          <w:p>
            <w:pPr>
              <w:spacing w:after="40"/>
            </w:pPr>
            <w:r/>
            <w:r>
              <w:rPr>
                <w:sz w:val="18"/>
              </w:rPr>
              <w:t>Entorno 3D</w:t>
            </w:r>
          </w:p>
        </w:tc>
        <w:tc>
          <w:tcPr>
            <w:tcW w:type="dxa" w:w="3742"/>
          </w:tcPr>
          <w:p>
            <w:pPr>
              <w:spacing w:after="40"/>
            </w:pPr>
            <w:r/>
            <w:r>
              <w:rPr>
                <w:sz w:val="18"/>
              </w:rPr>
              <w:t>Kimberly González Sepúlveda</w:t>
            </w:r>
          </w:p>
        </w:tc>
        <w:tc>
          <w:tcPr>
            <w:tcW w:type="dxa" w:w="2835"/>
          </w:tcPr>
          <w:p>
            <w:pPr>
              <w:spacing w:after="40"/>
            </w:pPr>
            <w:r/>
            <w:r>
              <w:rPr>
                <w:sz w:val="18"/>
              </w:rPr>
              <w:t>__________________________</w:t>
            </w:r>
          </w:p>
        </w:tc>
      </w:tr>
      <w:tr>
        <w:tc>
          <w:tcPr>
            <w:tcW w:type="dxa" w:w="2494"/>
          </w:tcPr>
          <w:p>
            <w:pPr>
              <w:spacing w:after="40"/>
            </w:pPr>
            <w:r/>
            <w:r>
              <w:rPr>
                <w:sz w:val="18"/>
              </w:rPr>
              <w:t>Sonido</w:t>
            </w:r>
          </w:p>
        </w:tc>
        <w:tc>
          <w:tcPr>
            <w:tcW w:type="dxa" w:w="3742"/>
          </w:tcPr>
          <w:p>
            <w:pPr>
              <w:spacing w:after="40"/>
            </w:pPr>
            <w:r/>
            <w:r>
              <w:rPr>
                <w:sz w:val="18"/>
              </w:rPr>
              <w:t>Christian Salvador Valadez Gallegos</w:t>
            </w:r>
          </w:p>
        </w:tc>
        <w:tc>
          <w:tcPr>
            <w:tcW w:type="dxa" w:w="2835"/>
          </w:tcPr>
          <w:p>
            <w:pPr>
              <w:spacing w:after="40"/>
            </w:pPr>
            <w:r/>
            <w:r>
              <w:rPr>
                <w:sz w:val="18"/>
              </w:rPr>
              <w:t>__________________________</w:t>
            </w:r>
          </w:p>
        </w:tc>
      </w:tr>
      <w:tr>
        <w:tc>
          <w:tcPr>
            <w:tcW w:type="dxa" w:w="2494"/>
          </w:tcPr>
          <w:p>
            <w:pPr>
              <w:spacing w:after="40"/>
            </w:pPr>
            <w:r/>
            <w:r>
              <w:rPr>
                <w:sz w:val="18"/>
              </w:rPr>
              <w:t>Música</w:t>
            </w:r>
          </w:p>
        </w:tc>
        <w:tc>
          <w:tcPr>
            <w:tcW w:type="dxa" w:w="3742"/>
          </w:tcPr>
          <w:p>
            <w:pPr>
              <w:spacing w:after="40"/>
            </w:pPr>
            <w:r/>
            <w:r>
              <w:rPr>
                <w:sz w:val="18"/>
              </w:rPr>
              <w:t>Javier Alejandro Hernández Caloca</w:t>
            </w:r>
          </w:p>
        </w:tc>
        <w:tc>
          <w:tcPr>
            <w:tcW w:type="dxa" w:w="2835"/>
          </w:tcPr>
          <w:p>
            <w:pPr>
              <w:spacing w:after="40"/>
            </w:pPr>
            <w:r/>
            <w:r>
              <w:rPr>
                <w:sz w:val="18"/>
              </w:rPr>
              <w:t>__________________________</w:t>
            </w:r>
          </w:p>
        </w:tc>
      </w:tr>
      <w:tr>
        <w:tc>
          <w:tcPr>
            <w:tcW w:type="dxa" w:w="2494"/>
          </w:tcPr>
          <w:p>
            <w:pPr>
              <w:spacing w:after="40"/>
            </w:pPr>
            <w:r/>
            <w:r>
              <w:rPr>
                <w:sz w:val="18"/>
              </w:rPr>
              <w:t>Experiencia emocional</w:t>
            </w:r>
          </w:p>
        </w:tc>
        <w:tc>
          <w:tcPr>
            <w:tcW w:type="dxa" w:w="3742"/>
          </w:tcPr>
          <w:p>
            <w:pPr>
              <w:spacing w:after="40"/>
            </w:pPr>
            <w:r/>
            <w:r>
              <w:rPr>
                <w:sz w:val="18"/>
              </w:rPr>
              <w:t>María Fernanda Montoya Valdez</w:t>
            </w:r>
          </w:p>
        </w:tc>
        <w:tc>
          <w:tcPr>
            <w:tcW w:type="dxa" w:w="2835"/>
          </w:tcPr>
          <w:p>
            <w:pPr>
              <w:spacing w:after="40"/>
            </w:pPr>
            <w:r/>
            <w:r>
              <w:rPr>
                <w:sz w:val="18"/>
              </w:rPr>
              <w:t>__________________________</w:t>
            </w:r>
          </w:p>
        </w:tc>
      </w:tr>
    </w:tbl>
    <w:p>
      <w:pPr>
        <w:spacing w:after="40"/>
      </w:pPr>
    </w:p>
    <w:p>
      <w:pPr>
        <w:spacing w:after="160"/>
        <w:jc w:val="both"/>
      </w:pPr>
      <w:r>
        <w:rPr>
          <w:b w:val="0"/>
          <w:i w:val="0"/>
        </w:rPr>
      </w:r>
    </w:p>
    <w:p>
      <w:pPr>
        <w:spacing w:after="160"/>
        <w:jc w:val="both"/>
      </w:pPr>
      <w:r>
        <w:rPr>
          <w:b w:val="0"/>
          <w:i w:val="0"/>
        </w:rPr>
        <w:t>Fecha del acuerdo: ______________________________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