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"/>
        <w:jc w:val="center"/>
      </w:pPr>
      <w:r>
        <w:rPr>
          <w:b/>
          <w:i w:val="0"/>
          <w:sz w:val="24"/>
        </w:rPr>
        <w:t>UNIVERSIDAD AUTÓNOMA DE NUEVO LEÓN</w:t>
      </w:r>
    </w:p>
    <w:p>
      <w:pPr>
        <w:spacing w:after="600"/>
        <w:jc w:val="center"/>
      </w:pPr>
      <w:r>
        <w:rPr>
          <w:b/>
          <w:i w:val="0"/>
          <w:sz w:val="22"/>
        </w:rPr>
        <w:t>FACULTAD DE INGENIERÍA MECÁNICA Y ELÉCTRICA</w:t>
      </w:r>
    </w:p>
    <w:p>
      <w:pPr>
        <w:spacing w:after="120"/>
        <w:jc w:val="center"/>
      </w:pPr>
      <w:r>
        <w:rPr>
          <w:b/>
          <w:i w:val="0"/>
          <w:sz w:val="36"/>
        </w:rPr>
        <w:t>Carta de validación de entregables</w:t>
      </w:r>
    </w:p>
    <w:p>
      <w:pPr>
        <w:spacing w:after="80"/>
        <w:jc w:val="center"/>
      </w:pPr>
      <w:r>
        <w:rPr>
          <w:b w:val="0"/>
          <w:i w:val="0"/>
          <w:sz w:val="24"/>
        </w:rPr>
        <w:t>Simulación de Batería en Realidad Virtual con Enfoque Terapéutico</w:t>
      </w:r>
    </w:p>
    <w:p>
      <w:pPr>
        <w:spacing w:after="4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6236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Dato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Unidad de aprendizaje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Administración de Proyectos de Software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Facultad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Ingeniería Mecánica y Eléctrica, UANL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Docente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Dra. Leticia Amalia Neira Tovar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Equipo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Equipo A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Fecha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21 de septiembre de 2026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Periodo que cubre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7 de septiembre a 18 de septiembre de 2026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Proceso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PMBOK 5.5 Validar el Alcance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Propósito</w:t>
      </w:r>
    </w:p>
    <w:p>
      <w:pPr>
        <w:spacing w:after="160"/>
        <w:jc w:val="both"/>
      </w:pPr>
      <w:r>
        <w:rPr>
          <w:b w:val="0"/>
          <w:i w:val="0"/>
        </w:rPr>
        <w:t>Este documento solicita la validación formal de los entregables producidos por el Equipo A hasta el corte del 18 de septiembre de 2026. La validación del alcance es el proceso mediante el cual se formaliza la aceptación de los entregables terminados; su salida son entregables aceptados.</w:t>
      </w:r>
    </w:p>
    <w:p>
      <w:pPr>
        <w:spacing w:after="160"/>
        <w:jc w:val="both"/>
      </w:pPr>
      <w:r>
        <w:rPr>
          <w:b w:val="0"/>
          <w:i w:val="0"/>
        </w:rPr>
        <w:t>Cada entregable se presenta con un criterio de aceptación verificable de forma independiente, sin necesidad de tomar como cierta ninguna afirmación del equipo. La sección 5 declara lo que no se entrega y por qué.</w:t>
      </w:r>
    </w:p>
    <w:p>
      <w:pPr>
        <w:pStyle w:val="Heading1"/>
      </w:pPr>
      <w:r>
        <w:t>2. Entregables sometidos a validación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41"/>
          </w:tcPr>
          <w:p>
            <w:pPr>
              <w:spacing w:after="40"/>
              <w:jc w:val="center"/>
            </w:pPr>
            <w:r/>
            <w:r>
              <w:rPr>
                <w:b/>
                <w:sz w:val="16"/>
              </w:rPr>
              <w:t>Archivo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b/>
                <w:sz w:val="16"/>
              </w:rPr>
              <w:t>Entregable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b/>
                <w:sz w:val="16"/>
              </w:rPr>
              <w:t>Contenido</w:t>
            </w:r>
          </w:p>
        </w:tc>
        <w:tc>
          <w:tcPr>
            <w:tcW w:type="dxa" w:w="3061"/>
          </w:tcPr>
          <w:p>
            <w:pPr>
              <w:spacing w:after="40"/>
              <w:jc w:val="center"/>
            </w:pPr>
            <w:r/>
            <w:r>
              <w:rPr>
                <w:b/>
                <w:sz w:val="16"/>
              </w:rPr>
              <w:t>Criterio de aceptación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6"/>
              </w:rPr>
              <w:t>01_Carta_Sponsor.docx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6"/>
              </w:rPr>
              <w:t>Carta del patrocinador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6"/>
              </w:rPr>
              <w:t>Justificación, objetivos medibles y medidas de éxito del proyecto.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6"/>
              </w:rPr>
              <w:t>Declara diez medidas de éxito, cada una con su método de comprobación.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6"/>
              </w:rPr>
              <w:t>02_Acta_Constitutiva.docx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6"/>
              </w:rPr>
              <w:t>Acta constitutiva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6"/>
              </w:rPr>
              <w:t>Autorización formal del proyecto y estructura de desglose del trabajo.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6"/>
              </w:rPr>
              <w:t>42 paquetes de trabajo, cada uno con criterio de aceptación verificable, responsable, recursos y duración. Reglas del 100 % y 8/80.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6"/>
              </w:rPr>
              <w:t>03_Ruta_Critica.docx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6"/>
              </w:rPr>
              <w:t>Ruta crítica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6"/>
              </w:rPr>
              <w:t>Secuenciación de actividades y cálculo de la ruta crítica.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6"/>
              </w:rPr>
              <w:t>Red PDM de 257 actividades y 417 dependencias. La ruta se recalcula sola al abrir el cronograma en ProjectLibre.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6"/>
              </w:rPr>
              <w:t>04_Planes_Costos_Calidad_Riesgos.docx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6"/>
              </w:rPr>
              <w:t>Planes de gestión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6"/>
              </w:rPr>
              <w:t>Planes de costos, calidad y riesgos.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6"/>
              </w:rPr>
              <w:t>Cobertura PMBOK 7.1 a 7.4, 8.1 a 8.3 y 11.1 a 11.7.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6"/>
              </w:rPr>
              <w:t>05_Analisis_Costos_Calidad_Riesgos.docx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6"/>
              </w:rPr>
              <w:t>Análisis de costos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6"/>
              </w:rPr>
              <w:t>Costeo ascendente, presupuesto, compresión y costo de la calidad.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6"/>
              </w:rPr>
              <w:t>Tarifas tomadas de fuentes oficiales mexicanas: STPS/ENOE-INEGI, CONASAMI e IMSS. Ninguna tarifa estimada sin fuente.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6"/>
              </w:rPr>
              <w:t>06_Entregable_Medio_Curso.docx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6"/>
              </w:rPr>
              <w:t>Compromiso de medio curso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6"/>
              </w:rPr>
              <w:t>Declaración de lo que el equipo entrega el 21 de septiembre.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6"/>
              </w:rPr>
              <w:t>Cada compromiso remite a las claves de tarea que lo respaldan.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sz w:val="16"/>
              </w:rPr>
              <w:t>Cronograma_ProjectLibre.xml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16"/>
              </w:rPr>
              <w:t>Cronograma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sz w:val="16"/>
              </w:rPr>
              <w:t>Plan del proyecto con el avance cargado.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16"/>
              </w:rPr>
              <w:t>Abrible en ProjectLibre. El avance por tarea es consultable con la columna «% Complete» y visible en las barras del diagrama de Gantt.</w:t>
            </w:r>
          </w:p>
        </w:tc>
      </w:tr>
    </w:tbl>
    <w:p>
      <w:pPr>
        <w:spacing w:after="40"/>
      </w:pPr>
    </w:p>
    <w:p>
      <w:pPr>
        <w:pStyle w:val="Heading2"/>
      </w:pPr>
      <w:r>
        <w:t>2.1 Prototipo funcional</w:t>
      </w:r>
    </w:p>
    <w:p>
      <w:pPr>
        <w:spacing w:after="160"/>
        <w:jc w:val="both"/>
      </w:pPr>
      <w:r>
        <w:rPr>
          <w:b w:val="0"/>
          <w:i w:val="0"/>
        </w:rPr>
        <w:t>Además de los documentos, se somete a validación el prototipo ejecutable instalado en el visor Meta Quest 3S. Se demuestra en vivo.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721"/>
          </w:tcPr>
          <w:p>
            <w:pPr>
              <w:spacing w:after="40"/>
              <w:jc w:val="center"/>
            </w:pPr>
            <w:r/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6350"/>
          </w:tcPr>
          <w:p>
            <w:pPr>
              <w:spacing w:after="40"/>
              <w:jc w:val="center"/>
            </w:pPr>
            <w:r/>
            <w:r>
              <w:rPr>
                <w:b/>
                <w:sz w:val="17"/>
              </w:rPr>
              <w:t>Criterio de aceptación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17"/>
              </w:rPr>
              <w:t>Batería de seis piezas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sz w:val="17"/>
              </w:rPr>
              <w:t>Se golpea cada pieza y suena el instrumento correspondiente.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17"/>
              </w:rPr>
              <w:t>Identificación de la pieza golpeada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sz w:val="17"/>
              </w:rPr>
              <w:t>Un indicador dentro del visor muestra el nombre de la pieza en cada golpe.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17"/>
              </w:rPr>
              <w:t>Tres niveles de intensidad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sz w:val="17"/>
              </w:rPr>
              <w:t>El mismo indicador muestra la intensidad; un golpe suave y uno fuerte en la misma pieza producen indicación y sonido distintos.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17"/>
              </w:rPr>
              <w:t>Respuesta háptica proporcional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sz w:val="17"/>
              </w:rPr>
              <w:t>El control vibra con amplitud proporcional a la velocidad del golpe.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17"/>
              </w:rPr>
              <w:t>Verificación automatizada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sz w:val="17"/>
              </w:rPr>
              <w:t>50 pruebas automatizadas que se ejecutan sin visor desde el editor.</w:t>
            </w:r>
          </w:p>
        </w:tc>
      </w:tr>
    </w:tbl>
    <w:p>
      <w:pPr>
        <w:spacing w:after="40"/>
      </w:pPr>
    </w:p>
    <w:p>
      <w:pPr>
        <w:pStyle w:val="Heading1"/>
      </w:pPr>
      <w:r>
        <w:t>3. Estado del avance</w:t>
      </w:r>
    </w:p>
    <w:p>
      <w:pPr>
        <w:spacing w:after="160"/>
        <w:jc w:val="both"/>
      </w:pPr>
      <w:r>
        <w:rPr>
          <w:b w:val="0"/>
          <w:i w:val="0"/>
        </w:rPr>
        <w:t>Al corte del 18 de septiembre, el cronograma registra 77 de 257 actividades terminadas (30 %). Esta cifra es la que arroja el archivo del cronograma al abrirlo, y puede comprobarse sin intermediarios.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669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Área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Actividades terminadas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8"/>
              </w:rPr>
              <w:t>Desarrollo VR y batería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27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8"/>
              </w:rPr>
              <w:t>QA, documentación y gestión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8"/>
              </w:rPr>
              <w:t>Experiencia emocional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8"/>
              </w:rPr>
              <w:t>Interfaz / UX-UI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8"/>
              </w:rPr>
              <w:t>Música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8"/>
              </w:rPr>
              <w:t>Entorno 3D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8"/>
              </w:rPr>
              <w:t>Sonido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</w:tcPr>
          <w:p>
            <w:pPr>
              <w:spacing w:after="40"/>
            </w:pPr>
            <w:r/>
            <w:r>
              <w:rPr>
                <w:sz w:val="18"/>
              </w:rPr>
              <w:t>Juego de ritmo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Terminadas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Asignadas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Misael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24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Maria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21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22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Diana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60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Sarai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32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Javier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Benjamin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Christian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sz w:val="18"/>
              </w:rPr>
              <w:t>Kimberly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31</w:t>
            </w:r>
          </w:p>
        </w:tc>
      </w:tr>
    </w:tbl>
    <w:p>
      <w:pPr>
        <w:spacing w:after="40"/>
      </w:pPr>
    </w:p>
    <w:p>
      <w:pPr>
        <w:pStyle w:val="Heading2"/>
      </w:pPr>
      <w:r>
        <w:t>3.1 Nota sobre las cifras</w:t>
      </w:r>
    </w:p>
    <w:p>
      <w:pPr>
        <w:spacing w:after="160"/>
        <w:jc w:val="both"/>
      </w:pPr>
      <w:r>
        <w:rPr>
          <w:b w:val="0"/>
          <w:i w:val="0"/>
        </w:rPr>
        <w:t>El documento de compromiso de medio curso declara 117 actividades terminadas. El cronograma registra 77. La diferencia se debe a que la hoja de control del equipo y el cronograma se mantuvieron por separado y se desincronizaron: la hoja no reflejaba el avance del área de desarrollo, y el cronograma no reflejaba el avance documental de las demás áreas.</w:t>
      </w:r>
    </w:p>
    <w:p>
      <w:pPr>
        <w:spacing w:after="160"/>
        <w:jc w:val="both"/>
      </w:pPr>
      <w:r>
        <w:rPr>
          <w:b w:val="0"/>
          <w:i w:val="0"/>
        </w:rPr>
        <w:t>La cifra de 77 es la unión de ambas fuentes, no la intersección: no se descarta el registro de ninguna. Se cita esta y no la de 117 porque es la única que un tercero puede reproducir abriendo el cronograma. Quedan 21 actividades terminadas y verificables en el repositorio que la hoja de control todavía no había registrado.</w:t>
      </w:r>
    </w:p>
    <w:p>
      <w:pPr>
        <w:pStyle w:val="Heading1"/>
      </w:pPr>
      <w:r>
        <w:t>4. Hito Go/No-Go de latencia</w:t>
      </w:r>
    </w:p>
    <w:p>
      <w:pPr>
        <w:spacing w:after="160"/>
        <w:jc w:val="both"/>
      </w:pPr>
      <w:r>
        <w:rPr>
          <w:b w:val="0"/>
          <w:i w:val="0"/>
        </w:rPr>
        <w:t>El acta constitutiva identifica la latencia entre el golpe físico y el sonido como el riesgo dominante del proyecto, y fija su medición como hito de decisión Go/No-Go en la semana 4. Es el único resultado del proyecto obtenido por medición y no por estimación.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948"/>
          </w:tcPr>
          <w:p>
            <w:pPr>
              <w:spacing w:after="40"/>
              <w:jc w:val="center"/>
            </w:pPr>
            <w:r/>
            <w:r>
              <w:rPr>
                <w:b/>
                <w:sz w:val="17"/>
              </w:rPr>
              <w:t>Concepto</w:t>
            </w:r>
          </w:p>
        </w:tc>
        <w:tc>
          <w:tcPr>
            <w:tcW w:type="dxa" w:w="6123"/>
          </w:tcPr>
          <w:p>
            <w:pPr>
              <w:spacing w:after="40"/>
              <w:jc w:val="center"/>
            </w:pPr>
            <w:r/>
            <w:r>
              <w:rPr>
                <w:b/>
                <w:sz w:val="17"/>
              </w:rPr>
              <w:t>Valor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7"/>
              </w:rPr>
              <w:t>Criterio de aceptación</w:t>
            </w:r>
          </w:p>
        </w:tc>
        <w:tc>
          <w:tcPr>
            <w:tcW w:type="dxa" w:w="6123"/>
          </w:tcPr>
          <w:p>
            <w:pPr>
              <w:spacing w:after="40"/>
            </w:pPr>
            <w:r/>
            <w:r>
              <w:rPr>
                <w:sz w:val="17"/>
              </w:rPr>
              <w:t>−10 ms ≤ Δ(p90) ≤ +25 ms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7"/>
              </w:rPr>
              <w:t>Resultado medido</w:t>
            </w:r>
          </w:p>
        </w:tc>
        <w:tc>
          <w:tcPr>
            <w:tcW w:type="dxa" w:w="6123"/>
          </w:tcPr>
          <w:p>
            <w:pPr>
              <w:spacing w:after="40"/>
            </w:pPr>
            <w:r/>
            <w:r>
              <w:rPr>
                <w:sz w:val="17"/>
              </w:rPr>
              <w:t>+4.07 ms (percentil 90 sobre 20 golpes)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7"/>
              </w:rPr>
              <w:t>Mediana</w:t>
            </w:r>
          </w:p>
        </w:tc>
        <w:tc>
          <w:tcPr>
            <w:tcW w:type="dxa" w:w="6123"/>
          </w:tcPr>
          <w:p>
            <w:pPr>
              <w:spacing w:after="40"/>
            </w:pPr>
            <w:r/>
            <w:r>
              <w:rPr>
                <w:sz w:val="17"/>
              </w:rPr>
              <w:t>+3.29 ms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7"/>
              </w:rPr>
              <w:t>Veredicto</w:t>
            </w:r>
          </w:p>
        </w:tc>
        <w:tc>
          <w:tcPr>
            <w:tcW w:type="dxa" w:w="6123"/>
          </w:tcPr>
          <w:p>
            <w:pPr>
              <w:spacing w:after="40"/>
            </w:pPr>
            <w:r/>
            <w:r>
              <w:rPr>
                <w:sz w:val="17"/>
              </w:rPr>
              <w:t>APRUEBA, con un margen de seis veces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7"/>
              </w:rPr>
              <w:t>Fecha de medición</w:t>
            </w:r>
          </w:p>
        </w:tc>
        <w:tc>
          <w:tcPr>
            <w:tcW w:type="dxa" w:w="6123"/>
          </w:tcPr>
          <w:p>
            <w:pPr>
              <w:spacing w:after="40"/>
            </w:pPr>
            <w:r/>
            <w:r>
              <w:rPr>
                <w:sz w:val="17"/>
              </w:rPr>
              <w:t>16 de septiembre de 2026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7"/>
              </w:rPr>
              <w:t>Fecha comprometida en el acta</w:t>
            </w:r>
          </w:p>
        </w:tc>
        <w:tc>
          <w:tcPr>
            <w:tcW w:type="dxa" w:w="6123"/>
          </w:tcPr>
          <w:p>
            <w:pPr>
              <w:spacing w:after="40"/>
            </w:pPr>
            <w:r/>
            <w:r>
              <w:rPr>
                <w:sz w:val="17"/>
              </w:rPr>
              <w:t>25 de septiembre de 2026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7"/>
              </w:rPr>
              <w:t>Método</w:t>
            </w:r>
          </w:p>
        </w:tc>
        <w:tc>
          <w:tcPr>
            <w:tcW w:type="dxa" w:w="6123"/>
          </w:tcPr>
          <w:p>
            <w:pPr>
              <w:spacing w:after="40"/>
            </w:pPr>
            <w:r/>
            <w:r>
              <w:rPr>
                <w:sz w:val="17"/>
              </w:rPr>
              <w:t>Protocolo de clic físico: el golpe del control contra una superficie real sirve de referencia temporal, con precisión de muestra a 48 kHz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7"/>
              </w:rPr>
              <w:t>Contraste</w:t>
            </w:r>
          </w:p>
        </w:tc>
        <w:tc>
          <w:tcPr>
            <w:tcW w:type="dxa" w:w="6123"/>
          </w:tcPr>
          <w:p>
            <w:pPr>
              <w:spacing w:after="40"/>
            </w:pPr>
            <w:r/>
            <w:r>
              <w:rPr>
                <w:sz w:val="17"/>
              </w:rPr>
              <w:t>Dos corridas, con y sin la mitigación de predicción</w:t>
            </w:r>
          </w:p>
        </w:tc>
      </w:tr>
    </w:tbl>
    <w:p>
      <w:pPr>
        <w:spacing w:after="40"/>
      </w:pPr>
    </w:p>
    <w:p>
      <w:pPr>
        <w:spacing w:after="160"/>
        <w:jc w:val="both"/>
      </w:pPr>
      <w:r>
        <w:rPr>
          <w:b w:val="0"/>
          <w:i w:val="0"/>
        </w:rPr>
        <w:t>La medición arrojó un hallazgo que contradice el supuesto del diseño y que se documenta como tal: la predicción del plano armado no reduce la latencia media sino su dispersión, a un tercio. La diferencia es estadísticamente sólida (prueba de permutación con 20 000 remuestreos, p = 0.0001) y se confirmó de forma independiente con la instrumentación interna de la aplicación.</w:t>
      </w:r>
    </w:p>
    <w:p>
      <w:pPr>
        <w:pStyle w:val="Heading1"/>
      </w:pPr>
      <w:r>
        <w:t>5. Limitaciones declaradas</w:t>
      </w:r>
    </w:p>
    <w:p>
      <w:pPr>
        <w:spacing w:after="160"/>
        <w:jc w:val="both"/>
      </w:pPr>
      <w:r>
        <w:rPr>
          <w:b w:val="0"/>
          <w:i w:val="0"/>
        </w:rPr>
        <w:t>Se declara explícitamente lo que no se entrega en este corte. Declararlo evita que se interprete como retraso lo que es secuencia planificada, y acota el alcance de la validación que se solicita.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54"/>
          </w:tcPr>
          <w:p>
            <w:pPr>
              <w:spacing w:after="40"/>
              <w:jc w:val="center"/>
            </w:pPr>
            <w:r/>
            <w:r>
              <w:rPr>
                <w:b/>
                <w:sz w:val="16"/>
              </w:rPr>
              <w:t>Componente</w:t>
            </w:r>
          </w:p>
        </w:tc>
        <w:tc>
          <w:tcPr>
            <w:tcW w:type="dxa" w:w="2948"/>
          </w:tcPr>
          <w:p>
            <w:pPr>
              <w:spacing w:after="40"/>
              <w:jc w:val="center"/>
            </w:pPr>
            <w:r/>
            <w:r>
              <w:rPr>
                <w:b/>
                <w:sz w:val="16"/>
              </w:rPr>
              <w:t>Estado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</w:pPr>
            <w:r/>
            <w:r>
              <w:rPr>
                <w:b/>
                <w:sz w:val="16"/>
              </w:rPr>
              <w:t>Razón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6"/>
              </w:rPr>
              <w:t>Asesor terapéutico externo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6"/>
              </w:rPr>
              <w:t>No se concretó. La fecha límite de confirmación era el 10 de septiembre.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16"/>
              </w:rPr>
              <w:t>Se documenta la ausencia de validación externa como limitación explícita y se trabaja con protocolos publicados de Neurologic Music Therapy.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6"/>
              </w:rPr>
              <w:t>Entorno tridimensional definitivo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6"/>
              </w:rPr>
              <w:t>Solo dirección artística y criterios de rendimiento.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16"/>
              </w:rPr>
              <w:t>Su cadena tiene 17 actividades estrictamente seriales y es la ruta crítica. No admite adelanto sin comprometer la calidad.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6"/>
              </w:rPr>
              <w:t>Interfaz dentro del motor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6"/>
              </w:rPr>
              <w:t>Existen el mapa de pantallas y los prototipos de diseño; la implementación en Unity no.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16"/>
              </w:rPr>
              <w:t>La interfaz se construye sobre el esquema de interacción, que se integró en este corte.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6"/>
              </w:rPr>
              <w:t>Rutinas terapéuticas dentro del simulador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6"/>
              </w:rPr>
              <w:t>Guion y flujo definidos, sin implementar.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16"/>
              </w:rPr>
              <w:t>Requieren el sistema de audio integrado con la interacción, que concluyó en este corte.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6"/>
              </w:rPr>
              <w:t>Pruebas con usuarios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6"/>
              </w:rPr>
              <w:t>Planes de prueba redactados.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16"/>
              </w:rPr>
              <w:t>Necesitan el prototipo integrado completo.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16"/>
              </w:rPr>
              <w:t>Baquetas con física de agarre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16"/>
              </w:rPr>
              <w:t>No se implementan y no se implementarán.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16"/>
              </w:rPr>
              <w:t>Las baquetas van solidarias al control. El acta descartó el agarre porque los controles entregan háptico y una lectura confiable de velocidad; añadir física introduciría el paso de simulación en el camino del golpe y degradaría la latencia.</w:t>
            </w:r>
          </w:p>
        </w:tc>
      </w:tr>
    </w:tbl>
    <w:p>
      <w:pPr>
        <w:spacing w:after="40"/>
      </w:pPr>
    </w:p>
    <w:p>
      <w:pPr>
        <w:spacing w:after="160"/>
        <w:jc w:val="both"/>
      </w:pPr>
      <w:r>
        <w:rPr>
          <w:b w:val="0"/>
          <w:i/>
        </w:rPr>
        <w:t>El proyecto no cuenta con supervisión clínica ni validación diagnóstica. No se presenta como tratamiento de ninguna condición de salud, y la literatura consultada respalda hablar de apoyo a la coordinación y la regulación, no de efecto terapéutico comprobado.</w:t>
      </w:r>
    </w:p>
    <w:p>
      <w:pPr>
        <w:pStyle w:val="Heading1"/>
      </w:pPr>
      <w:r>
        <w:t>6. Dictamen de la docente</w:t>
      </w:r>
    </w:p>
    <w:p>
      <w:pPr>
        <w:spacing w:after="160"/>
        <w:jc w:val="both"/>
      </w:pPr>
      <w:r>
        <w:rPr>
          <w:b w:val="0"/>
          <w:i w:val="0"/>
        </w:rPr>
        <w:t>Marque la opción que corresponda: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Dictamen</w:t>
            </w:r>
          </w:p>
        </w:tc>
        <w:tc>
          <w:tcPr>
            <w:tcW w:type="dxa" w:w="5556"/>
          </w:tcPr>
          <w:p>
            <w:pPr>
              <w:spacing w:after="40"/>
              <w:jc w:val="center"/>
            </w:pPr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sz w:val="18"/>
              </w:rPr>
              <w:t>☐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Entregables aceptados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18"/>
              </w:rPr>
              <w:t>Los entregables cumplen los criterios de aceptación declarados.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sz w:val="18"/>
              </w:rPr>
              <w:t>☐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Aceptados con observaciones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18"/>
              </w:rPr>
              <w:t>Se aceptan y las observaciones se atienden antes del siguiente corte.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sz w:val="18"/>
              </w:rPr>
              <w:t>☐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8"/>
              </w:rPr>
              <w:t>No aceptados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18"/>
              </w:rPr>
              <w:t>No cumplen los criterios. Se indica cuáles y qué falta.</w:t>
            </w:r>
          </w:p>
        </w:tc>
      </w:tr>
    </w:tbl>
    <w:p>
      <w:pPr>
        <w:spacing w:after="40"/>
      </w:pPr>
    </w:p>
    <w:p>
      <w:pPr>
        <w:spacing w:after="160"/>
        <w:jc w:val="both"/>
      </w:pPr>
      <w:r>
        <w:rPr>
          <w:b w:val="0"/>
          <w:i w:val="0"/>
        </w:rPr>
      </w:r>
    </w:p>
    <w:p>
      <w:pPr>
        <w:spacing w:after="160"/>
        <w:jc w:val="both"/>
      </w:pPr>
      <w:r>
        <w:rPr>
          <w:b/>
          <w:i w:val="0"/>
        </w:rPr>
        <w:t>Observaciones:</w:t>
      </w:r>
    </w:p>
    <w:p>
      <w:pPr>
        <w:spacing w:after="160"/>
        <w:jc w:val="both"/>
      </w:pPr>
      <w:r>
        <w:rPr>
          <w:b w:val="0"/>
          <w:i w:val="0"/>
        </w:rPr>
        <w:t>____________________________________________________________________________________________________________</w:t>
      </w:r>
    </w:p>
    <w:p>
      <w:pPr>
        <w:spacing w:after="160"/>
        <w:jc w:val="both"/>
      </w:pPr>
      <w:r>
        <w:rPr>
          <w:b w:val="0"/>
          <w:i w:val="0"/>
        </w:rPr>
        <w:t>____________________________________________________________________________________________________________</w:t>
      </w:r>
    </w:p>
    <w:p>
      <w:pPr>
        <w:spacing w:after="160"/>
        <w:jc w:val="both"/>
      </w:pPr>
      <w:r>
        <w:rPr>
          <w:b w:val="0"/>
          <w:i w:val="0"/>
        </w:rPr>
        <w:t>____________________________________________________________________________________________________________</w:t>
      </w:r>
    </w:p>
    <w:p>
      <w:pPr>
        <w:spacing w:after="160"/>
        <w:jc w:val="both"/>
      </w:pPr>
      <w:r>
        <w:rPr>
          <w:b w:val="0"/>
          <w:i w:val="0"/>
        </w:rPr>
        <w:t>____________________________________________________________________________________________________________</w:t>
      </w:r>
    </w:p>
    <w:p>
      <w:pPr>
        <w:spacing w:after="160"/>
        <w:jc w:val="both"/>
      </w:pPr>
      <w:r>
        <w:rPr>
          <w:b w:val="0"/>
          <w:i w:val="0"/>
        </w:rPr>
        <w:t>____________________________________________________________________________________________________________</w:t>
      </w:r>
    </w:p>
    <w:p>
      <w:pPr>
        <w:pStyle w:val="Heading1"/>
      </w:pPr>
      <w:r>
        <w:t>7. Firmas</w:t>
      </w:r>
    </w:p>
    <w:p>
      <w:pPr>
        <w:spacing w:after="160"/>
        <w:jc w:val="both"/>
      </w:pPr>
      <w:r>
        <w:rPr>
          <w:b w:val="0"/>
          <w:i w:val="0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494"/>
          </w:tcPr>
          <w:p>
            <w:pPr>
              <w:spacing w:after="40"/>
              <w:jc w:val="center"/>
            </w:pPr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3742"/>
          </w:tcPr>
          <w:p>
            <w:pPr>
              <w:spacing w:after="40"/>
              <w:jc w:val="center"/>
            </w:pPr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</w:pPr>
            <w:r/>
            <w:r>
              <w:rPr>
                <w:b/>
                <w:sz w:val="19"/>
              </w:rPr>
              <w:t>Firma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Gerente de proyecto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sz w:val="19"/>
              </w:rPr>
              <w:t>Abiud Misael Benítez Franco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______________________________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Coordinadora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sz w:val="19"/>
              </w:rPr>
              <w:t>Sarai Galindo García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______________________________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Director de proyecto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sz w:val="19"/>
              </w:rPr>
              <w:t>Benjamín Ignacio Villalón Bobadilla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______________________________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sz w:val="19"/>
              </w:rPr>
              <w:t>Docente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sz w:val="19"/>
              </w:rPr>
              <w:t>Dra. Leticia Amalia Neira Tovar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sz w:val="19"/>
              </w:rPr>
              <w:t>______________________________</w:t>
            </w:r>
          </w:p>
        </w:tc>
      </w:tr>
    </w:tbl>
    <w:p>
      <w:pPr>
        <w:spacing w:after="40"/>
      </w:pPr>
    </w:p>
    <w:p>
      <w:pPr>
        <w:spacing w:after="160"/>
        <w:jc w:val="both"/>
      </w:pPr>
      <w:r>
        <w:rPr>
          <w:b w:val="0"/>
          <w:i w:val="0"/>
        </w:rPr>
      </w:r>
    </w:p>
    <w:p>
      <w:pPr>
        <w:spacing w:after="160"/>
        <w:jc w:val="both"/>
      </w:pPr>
      <w:r>
        <w:rPr>
          <w:b w:val="0"/>
          <w:i w:val="0"/>
        </w:rPr>
        <w:t>Fecha de validación: ______________________________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