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6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
        <w:rPr>
          <w:rFonts w:ascii="Times New Roman" w:hAnsi="Times New Roman"/>
          <w:b/>
          <w:sz w:val="36"/>
        </w:rPr>
        <w:t>An End-to-End Robust Aquaculture Vision Framework: Multi-Stage YOLO Detection with Background-Null Regularization and Foundation Few-Shot Metric Diagnosis for Precision Shrimp Health Monitoring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
        <w:rPr>
          <w:rFonts w:ascii="Times New Roman" w:hAnsi="Times New Roman"/>
          <w:sz w:val="22"/>
        </w:rPr>
        <w:t>Abiya Makruf a,*, Budi Santoso a, Dewi Lestari b</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
        <w:rPr>
          <w:rFonts w:ascii="Times New Roman" w:hAnsi="Times New Roman"/>
          <w:i/>
          <w:sz w:val="18"/>
        </w:rPr>
        <w:t>a Department of Informatics, Faculty of Mathematics and Natural Sciences, Universitas Padjadjaran, Jatinangor, 45363, Indonesia</w:t>
        <w:br/>
        <w:t>b Department of Fisheries and Marine Science, Universitas Padjadjaran, Jatinangor, 45363, Indonesia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
        <w:rPr>
          <w:rFonts w:ascii="Times New Roman" w:hAnsi="Times New Roman"/>
          <w:i/>
          <w:sz w:val="18"/>
        </w:rPr>
        <w:t>Corresponding author: abiyamakruf@gmail.com</w:t>
      </w:r>
    </w:p>
    <w:p w:rsidR="00000000" w:rsidDel="00000000" w:rsidP="00000000" w:rsidRDefault="00000000" w:rsidRPr="00000000" w14:paraId="00000006">
      <w:pPr>
        <w:pBdr>
          <w:bottom w:color="000000" w:space="1" w:sz="4" w:val="single"/>
        </w:pBd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
        <w:rPr>
          <w:rFonts w:ascii="Times New Roman" w:hAnsi="Times New Roman"/>
          <w:b/>
          <w:i/>
          <w:sz w:val="18"/>
        </w:rPr>
        <w:t xml:space="preserve">Abstract— </w:t>
      </w:r>
      <w:r>
        <w:rPr>
          <w:rFonts w:ascii="Times New Roman" w:hAnsi="Times New Roman"/>
          <w:b/>
          <w:sz w:val="18"/>
        </w:rPr>
        <w:t>Emerging viral and bacterial pathologies in intensive shrimp aquaculture pose devastating biosecurity and economic risks globally. Although computer vision offers promising non-invasive monitoring capabilities, operational pond deployment encounters two critical bottlenecks: high susceptibility to false-positive alarms triggered by complex Out-of-Distribution (OOD) background clutter (turbid water, mud, aeration bubbles, nets, human hands), and the prohibitive labor burden of manual bounding-box annotation when responding to rare or newly emerging diseases with limited visual specimens. In this study, we propose a comprehensive, decoupled two-stage vision framework that unifies robust real-time object detection with zero-annotation few-shot metric diagnosis. In Stage 1, we conduct multi-stage training and scaling of YOLO architectures (YOLOv8 through YOLO26, across nano, small, and medium scales) regularized with background-null aquaculture samples. The champion single-class detector achieves 99.26% mAP@50 and completely eliminates false alarms across 700 challenging real-world OOD background images (0.0% False Positive Rate at optimal threshold τ = 0.36), while TFLite FP16 quantization compresses the model to 2.89 MB (48.5% reduction) with zero latency degradation. In Stage 2, localized shrimp specimens are dynamically cropped, normalized, and classified via an episodic metric-based Prototypical Network powered by the self-supervised foundation model DINOv2. This eliminates bounding-box labeling requirements entirely for novel conditions. Evaluated across 12,446 crops covering multi-condition pathologies (healthy, WSSV, Blackgill, IMNV, WFD, Yellowhead), the DINOv2 ProtoNet achieves 45.59% ± 1.59% (1-shot), 65.76% ± 1.50% (5-shot), and 70.28% ± 1.42% (10-shot) in 5-way episodic tasks, significantly outperforming supervised CNNs (ResNet-50 at 59.53%) and displaying superior optimization stability compared to gradient-based fine-tuning. Grad-CAM and Eigen-CAM interpretability confirms that model attention is strictly focused on diagnostic anatomical structures. The end-to-end framework operates at 253 FPS (3.95 ms per frame) on a consumer GPU, offering a practical, deployable, and low-cost precision diagnostics pipeline for smart aquaculture.</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
        <w:rPr>
          <w:rFonts w:ascii="Times New Roman" w:hAnsi="Times New Roman"/>
          <w:b/>
          <w:i/>
          <w:sz w:val="18"/>
        </w:rPr>
        <w:t xml:space="preserve">Keywords— </w:t>
      </w:r>
      <w:r>
        <w:rPr>
          <w:rFonts w:ascii="Times New Roman" w:hAnsi="Times New Roman"/>
          <w:b/>
          <w:sz w:val="18"/>
        </w:rPr>
        <w:t>Smart Aquaculture; Object Detection; YOLO11; Few-Shot Learning; DINOv2; Out-of-Distribution Rejection; Model Quantization.</w:t>
      </w:r>
    </w:p>
    <w:p w:rsidR="00000000" w:rsidDel="00000000" w:rsidP="00000000" w:rsidRDefault="00000000" w:rsidRPr="00000000" w14:paraId="0000000B">
      <w:pPr>
        <w:tabs>
          <w:tab w:val="left" w:leader="none" w:pos="5720"/>
        </w:tabs>
        <w:rPr>
          <w:sz w:val="18"/>
          <w:szCs w:val="18"/>
        </w:rPr>
      </w:pPr>
      <w:r w:rsidDel="00000000" w:rsidR="00000000" w:rsidRPr="00000000">
        <w:rPr>
          <w:sz w:val="18"/>
          <w:szCs w:val="18"/>
          <w:rtl w:val="0"/>
        </w:rPr>
        <w:tab/>
      </w:r>
    </w:p>
    <w:p w:rsidR="00000000" w:rsidDel="00000000" w:rsidP="00000000" w:rsidRDefault="00000000" w:rsidRPr="00000000" w14:paraId="0000000C">
      <w:pPr>
        <w:pBdr>
          <w:bottom w:color="000000" w:space="1" w:sz="4" w:val="single"/>
        </w:pBdr>
        <w:jc w:val="right"/>
        <w:rPr>
          <w:i w:val="1"/>
          <w:sz w:val="16"/>
          <w:szCs w:val="16"/>
        </w:rPr>
      </w:pPr>
      <w:r w:rsidDel="00000000" w:rsidR="00000000" w:rsidRPr="00000000">
        <w:rPr>
          <w:i w:val="1"/>
          <w:sz w:val="16"/>
          <w:szCs w:val="16"/>
          <w:rtl w:val="0"/>
        </w:rPr>
        <w:t xml:space="preserve">Manuscript received 15 Oct. 2020; revised 29 Jan. 2021; accepted 2 Feb. 2021. Date of publication 17 Feb. 2021.</w:t>
      </w:r>
    </w:p>
    <w:p w:rsidR="00000000" w:rsidDel="00000000" w:rsidP="00000000" w:rsidRDefault="00000000" w:rsidRPr="00000000" w14:paraId="0000000D">
      <w:pPr>
        <w:pBdr>
          <w:bottom w:color="000000" w:space="1" w:sz="4" w:val="single"/>
        </w:pBdr>
        <w:jc w:val="right"/>
        <w:rPr>
          <w:sz w:val="16"/>
          <w:szCs w:val="16"/>
        </w:rPr>
      </w:pPr>
      <w:r w:rsidDel="00000000" w:rsidR="00000000" w:rsidRPr="00000000">
        <w:rPr>
          <w:i w:val="1"/>
          <w:color w:val="000000"/>
          <w:sz w:val="16"/>
          <w:szCs w:val="16"/>
          <w:rtl w:val="0"/>
        </w:rPr>
        <w:t xml:space="preserve">International Journal on Informatics Visualization is licensed under a Creative Commons Attribution-Share Alike 4.0 International License.</w:t>
      </w:r>
      <w:r w:rsidDel="00000000" w:rsidR="00000000" w:rsidRPr="00000000">
        <w:rPr>
          <w:rtl w:val="0"/>
        </w:rPr>
      </w:r>
    </w:p>
    <w:p w:rsidR="00000000" w:rsidDel="00000000" w:rsidP="00000000" w:rsidRDefault="00000000" w:rsidRPr="00000000" w14:paraId="0000000E">
      <w:pPr>
        <w:pBdr>
          <w:bottom w:color="000000" w:space="1" w:sz="4" w:val="single"/>
        </w:pBdr>
        <w:jc w:val="right"/>
        <w:rPr>
          <w:i w:val="1"/>
          <w:color w:val="000000"/>
          <w:sz w:val="18"/>
          <w:szCs w:val="18"/>
        </w:rPr>
      </w:pPr>
      <w:r w:rsidDel="00000000" w:rsidR="00000000" w:rsidRPr="00000000">
        <w:rPr>
          <w:i w:val="1"/>
          <w:color w:val="000000"/>
          <w:sz w:val="18"/>
          <w:szCs w:val="18"/>
        </w:rPr>
        <w:drawing>
          <wp:inline distB="0" distT="0" distL="0" distR="0">
            <wp:extent cx="859782" cy="300817"/>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9782" cy="30081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bottom w:color="000000" w:space="1" w:sz="4" w:val="single"/>
        </w:pBdr>
        <w:jc w:val="right"/>
        <w:rPr>
          <w:i w:val="1"/>
          <w:color w:val="000000"/>
          <w:sz w:val="8"/>
          <w:szCs w:val="8"/>
        </w:rPr>
      </w:pPr>
      <w:r w:rsidDel="00000000" w:rsidR="00000000" w:rsidRPr="00000000">
        <w:rPr>
          <w:rtl w:val="0"/>
        </w:rPr>
      </w:r>
    </w:p>
    <w:p w:rsidR="00000000" w:rsidDel="00000000" w:rsidP="00000000" w:rsidRDefault="00000000" w:rsidRPr="00000000" w14:paraId="00000010">
      <w:pPr>
        <w:rPr>
          <w:sz w:val="20"/>
          <w:szCs w:val="20"/>
        </w:rPr>
        <w:sectPr>
          <w:pgSz w:h="16838" w:w="11906" w:orient="portrait"/>
          <w:pgMar w:bottom="1588" w:top="1077" w:left="811" w:right="811" w:header="709" w:footer="709"/>
          <w:pgNumType w:start="1"/>
        </w:sect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sectPr>
          <w:type w:val="continuous"/>
          <w:pgSz w:h="16838" w:w="11906" w:orient="portrait"/>
          <w:pgMar w:bottom="1588" w:top="1077" w:left="811" w:right="811" w:header="709" w:footer="709"/>
          <w:cols w:equalWidth="0" w:num="2">
            <w:col w:space="482" w:w="4901"/>
            <w:col w:space="0" w:w="4901"/>
          </w:cols>
        </w:sect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pPr>
        <w:spacing w:before="240" w:after="80"/>
        <w:jc w:val="center"/>
      </w:pPr>
      <w:r>
        <w:rPr>
          <w:rFonts w:ascii="Times New Roman" w:hAnsi="Times New Roman"/>
          <w:b/>
          <w:sz w:val="20"/>
        </w:rPr>
        <w:t>I. INTRODUCTION</w:t>
      </w:r>
    </w:p>
    <w:p>
      <w:pPr>
        <w:spacing w:after="60" w:line="252" w:lineRule="auto"/>
        <w:ind w:firstLine="288"/>
        <w:jc w:val="both"/>
      </w:pPr>
      <w:r>
        <w:rPr>
          <w:rFonts w:ascii="Times New Roman" w:hAnsi="Times New Roman"/>
          <w:sz w:val="20"/>
        </w:rPr>
        <w:t>Aquaculture has rapidly expanded into the fastest-growing animal food-production sector globally, with marine penaeid shrimp farming—predominantly Pacific White Shrimp (Litopenaeus vannamei) and Giant Tiger Prawn (Penaeus monodon)—serving as a vital socio-economic engine throughout Southeast Asia and Latin America [1]. However, intensive commercial ponds are persistently vulnerable to devastating biosecurity threats. Viral, bacterial, and fungal pathogens—including White Spot Syndrome Virus (WSSV), Infectious Myonecrosis Virus (IMNV), Blackgill disease, Acute Hepatopancreatic Necrosis Disease (AHPND/EMS), White Feces Disease (WFD), and Yellowhead Virus (YHV)—can trigger catastrophic mortality rates reaching 80% to 100% within 48 to 72 hours of symptom onset, inflicting cumulative losses exceeding billions of dollars annually [2], [3].</w:t>
      </w:r>
    </w:p>
    <w:p>
      <w:pPr>
        <w:spacing w:after="60" w:line="252" w:lineRule="auto"/>
        <w:ind w:firstLine="288"/>
        <w:jc w:val="both"/>
      </w:pPr>
      <w:r>
        <w:rPr>
          <w:rFonts w:ascii="Times New Roman" w:hAnsi="Times New Roman"/>
          <w:sz w:val="20"/>
        </w:rPr>
        <w:t>To mitigate epidemic transmission and reduce reliance on destructive prophylactic antibiotics, automated optical monitoring and deep-learning computer vision systems have garnered widespread attention [4], [5]. Real-time single-stage object detectors, particularly the You Only Look Once (YOLO) series [6], [7], have demonstrated outstanding localization accuracy under controlled laboratory trials. Nevertheless, translating laboratory benchmarks into actual operational commercial ponds uncovers two critical, interrelated operational failures:</w:t>
      </w:r>
    </w:p>
    <w:p>
      <w:pPr>
        <w:spacing w:after="60" w:line="252" w:lineRule="auto"/>
        <w:ind w:firstLine="288"/>
        <w:jc w:val="both"/>
      </w:pPr>
      <w:r>
        <w:rPr>
          <w:rFonts w:ascii="Times New Roman" w:hAnsi="Times New Roman"/>
          <w:sz w:val="20"/>
        </w:rPr>
        <w:t>1) Vulnerability to Out-of-Distribution (OOD) Background Distractors: In commercial ponds, field inspection cameras inevitably capture extraneous, non-target background elements such as high turbidity sediments, paddlewheel aerator bubbles, muddy pond bottoms, feeding trays, and human hands handling specimen trays. Conventional closed-set object detectors exhibit severe overconfidence on unfamiliar visual patterns [8], routinely hallucinating healthy shrimp or disease pathologies on hands, aerator foam, or pond mud. In commercial farming, frequent false-positive alarms rapidly erode farmer trust and prompt costly, unwarranted chemical interventions.</w:t>
      </w:r>
    </w:p>
    <w:p>
      <w:pPr>
        <w:spacing w:after="60" w:line="252" w:lineRule="auto"/>
        <w:ind w:firstLine="288"/>
        <w:jc w:val="both"/>
      </w:pPr>
      <w:r>
        <w:rPr>
          <w:rFonts w:ascii="Times New Roman" w:hAnsi="Times New Roman"/>
          <w:sz w:val="20"/>
        </w:rPr>
        <w:t>2) The Data Scarcity and Bounding-Box Annotation Bottleneck: While common pathologies possess sufficient image collections, newly emerging pathogens or rare local strains (such as AHPND, Enterocytozoon hepatopenaei / EHP, or Taura Syndrome Virus / TSV) emerge unpredictably. Collecting hundreds of annotated bounding-box images during an active outbreak is biologically and logistically unfeasible. Previous studies attempted to adapt Few-Shot Object Detection (FSOD) [9], [10]. However, FSOD introduces crippling practical friction: field operators and pathologists must manually draw millimeter-accurate bounding boxes around small, swimming, semi-translucent shrimp bodies. Furthermore, few-shot regression heads suffer extreme instability under extreme sample scarcity (K ≤ 5 shots), resulting in bounding-box drift and detection failure.</w:t>
      </w:r>
    </w:p>
    <w:p>
      <w:pPr>
        <w:spacing w:before="120" w:after="40"/>
        <w:jc w:val="center"/>
      </w:pPr>
      <w:r>
        <w:drawing>
          <wp:inline>
            <wp:extent cx="3108960" cy="1221424"/>
            <wp:docPr id="10" name="Picture 10"/>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3108960" cy="1221424"/>
                    </a:xfrm>
                    <a:prstGeom prst="rect"/>
                  </pic:spPr>
                </pic:pic>
              </a:graphicData>
            </a:graphic>
          </wp:inline>
        </w:drawing>
      </w:r>
    </w:p>
    <w:p>
      <w:pPr>
        <w:spacing w:after="120"/>
        <w:jc w:val="both"/>
      </w:pPr>
      <w:r>
        <w:rPr>
          <w:rFonts w:ascii="Times New Roman" w:hAnsi="Times New Roman"/>
          <w:b/>
          <w:sz w:val="16"/>
        </w:rPr>
        <w:t xml:space="preserve">Fig. 1. </w:t>
      </w:r>
      <w:r>
        <w:rPr>
          <w:rFonts w:ascii="Times New Roman" w:hAnsi="Times New Roman"/>
          <w:sz w:val="16"/>
        </w:rPr>
        <w:t>Architectural schematic of the proposed Two-Stage End-to-End Aquaculture Vision Framework. Stage 1 executes universal localization and OOD background rejection via a background-null regularized YOLO detector; Stage 2 performs dynamic auto-cropping and zero-annotation few-shot metric diagnosis via DINOv2 and Prototypical Networks.</w:t>
      </w:r>
    </w:p>
    <w:p>
      <w:pPr>
        <w:spacing w:after="60" w:line="252" w:lineRule="auto"/>
        <w:ind w:firstLine="288"/>
        <w:jc w:val="both"/>
      </w:pPr>
      <w:r>
        <w:rPr>
          <w:rFonts w:ascii="Times New Roman" w:hAnsi="Times New Roman"/>
          <w:sz w:val="20"/>
        </w:rPr>
        <w:t>To resolve these dual bottlenecks, this paper proposes an end-to-end decoupled framework: separating universal spatial localization from fine-grained disease diagnosis (Fig. 1). Because morphological body contours (rostrum, carapace, antennae, abdominal segments, pleopods) remain geometrically uniform across penaeid species and health conditions, localization can be effectively resolved as a universal single-class detection problem. Once shrimp specimens are localized and dynamically cropped, diagnosis can be delegated to an episodic metric-based Few-Shot Learning (FSL) engine. This architectural division yields the profound advantage of zero-annotation effort: when an unfamiliar pathogen emerges, farm technicians only supply 1 to 5 whole-image reference photographs without drawing a single bounding box.</w:t>
      </w:r>
    </w:p>
    <w:p>
      <w:pPr>
        <w:spacing w:after="60" w:line="252" w:lineRule="auto"/>
        <w:ind w:firstLine="288"/>
        <w:jc w:val="both"/>
      </w:pPr>
      <w:r>
        <w:rPr>
          <w:rFonts w:ascii="Times New Roman" w:hAnsi="Times New Roman"/>
          <w:sz w:val="20"/>
        </w:rPr>
        <w:t>The primary contributions of this paper are fourfold:</w:t>
        <w:br/>
        <w:t>• Comprehensive Multi-Stage YOLO Training &amp; Scaling: We benchmark 6 distinct YOLO architectures (YOLOv8n through YOLO26n) across multiple training stages, exploring domain adaptation (internal, external, combined) and model scaling (nano, small, medium).</w:t>
        <w:br/>
        <w:t>• Background-Null Regularization for 0% OOD False Alarms: We formulate a negative-null training strategy that completely suppresses false alarms across 700 challenging real-world OOD background images.</w:t>
        <w:br/>
        <w:t>• Zero-Annotation Few-Shot Metric Diagnosis: We benchmark self-supervised foundation models (DINOv2) against modern ConvNeXt and classic ResNet-50 across 1-shot, 5-shot, and 10-shot regimes, achieving 70.28% accuracy on rare disease conditions.</w:t>
        <w:br/>
        <w:t>• Edge AI Feasibility &amp; Explainability: We validate model attention via Grad-CAM / Eigen-CAM and prove edge deployment feasibility with 2.89 MB TFLite FP16 quantization running at 253 FPS end-to-end.</w:t>
      </w:r>
    </w:p>
    <w:p>
      <w:pPr>
        <w:spacing w:before="240" w:after="80"/>
        <w:jc w:val="center"/>
      </w:pPr>
      <w:r>
        <w:rPr>
          <w:rFonts w:ascii="Times New Roman" w:hAnsi="Times New Roman"/>
          <w:b/>
          <w:sz w:val="20"/>
        </w:rPr>
        <w:t>II. MATERIAL AND METHOD</w:t>
      </w:r>
    </w:p>
    <w:p>
      <w:pPr>
        <w:spacing w:before="160" w:after="40"/>
        <w:jc w:val="left"/>
      </w:pPr>
      <w:r>
        <w:rPr>
          <w:rFonts w:ascii="Times New Roman" w:hAnsi="Times New Roman"/>
          <w:i/>
          <w:sz w:val="20"/>
        </w:rPr>
        <w:t>A. Multi-Source Aquaculture Datasets and Negative Testbeds</w:t>
      </w:r>
    </w:p>
    <w:p>
      <w:pPr>
        <w:spacing w:after="60" w:line="252" w:lineRule="auto"/>
        <w:ind w:firstLine="288"/>
        <w:jc w:val="both"/>
      </w:pPr>
      <w:r>
        <w:rPr>
          <w:rFonts w:ascii="Times New Roman" w:hAnsi="Times New Roman"/>
          <w:sz w:val="20"/>
        </w:rPr>
        <w:t>To ensure rigorous evaluation, the research dataset was curated from three distinct visual distributions:</w:t>
        <w:br/>
        <w:t>1) Internal Pond Collection: Primary high-resolution imagery captured in operational brackish-water aquaculture ponds in West Java, Indonesia, depicting Pacific White Shrimp (L. vannamei) and Giant Tiger Prawn (P. monodon) under natural sunlight and artificial pond lighting.</w:t>
        <w:br/>
        <w:t>2) External Multi-Class Repositories: Secondary open-access repositories containing documented pathologies, including White Spot Syndrome Virus (WSSV), Infectious Myonecrosis Virus (IMNV), Blackgill disease, White Feces Disease (WFD), and Yellowhead Virus (YHV) [11], [12].</w:t>
        <w:br/>
        <w:t>3) Combined Harmonized Benchmark: A merged dataset comprising 8,257 multi-condition images (6,800 train, 484 validation, 973 test), annotated across 7 distinct classes: healthy, WSSV, Blackgill, IMNV, WFD, Yellowhead, and WSSV-Blackgill co-infections.</w:t>
      </w:r>
    </w:p>
    <w:p>
      <w:pPr>
        <w:spacing w:after="60" w:line="252" w:lineRule="auto"/>
        <w:ind w:firstLine="288"/>
        <w:jc w:val="both"/>
      </w:pPr>
      <w:r>
        <w:rPr>
          <w:rFonts w:ascii="Times New Roman" w:hAnsi="Times New Roman"/>
          <w:sz w:val="20"/>
        </w:rPr>
        <w:t>To rigorously quantify Out-of-Distribution (OOD) false-alarm rejection, two dedicated negative testbeds containing zero shrimp specimens were assembled:</w:t>
        <w:br/>
        <w:t>• In-Pond Negative Testbed (400 images): Underwater sediment, human hands handling sampling gear, empty feeding trays, and aerator bubble froth.</w:t>
        <w:br/>
        <w:t>• Extended Aquaculture Negative Testbed (300 images): Extraneous fauna (freshwater fish, frogs, crabs), shoreline foliage, and pond infrastructure machinery.</w:t>
      </w:r>
    </w:p>
    <w:p>
      <w:pPr>
        <w:spacing w:before="160" w:after="40"/>
        <w:jc w:val="left"/>
      </w:pPr>
      <w:r>
        <w:rPr>
          <w:rFonts w:ascii="Times New Roman" w:hAnsi="Times New Roman"/>
          <w:i/>
          <w:sz w:val="20"/>
        </w:rPr>
        <w:t>B. Stage 1: Robust Universal Object Detection Pipeline</w:t>
      </w:r>
    </w:p>
    <w:p>
      <w:pPr>
        <w:spacing w:after="60" w:line="252" w:lineRule="auto"/>
        <w:ind w:firstLine="288"/>
        <w:jc w:val="both"/>
      </w:pPr>
      <w:r>
        <w:rPr>
          <w:rFonts w:ascii="Times New Roman" w:hAnsi="Times New Roman"/>
          <w:sz w:val="20"/>
        </w:rPr>
        <w:t>Stage 1 focuses on universal localization of shrimp targets while rejecting all background distractors. Six state-of-the-art detector backbones were evaluated: YOLOv8n, YOLOv9t, YOLOv10n, YOLO11n, YOLO12n, and YOLO26n. The training pipeline incorporated four progressive stages:</w:t>
      </w:r>
    </w:p>
    <w:p>
      <w:pPr>
        <w:spacing w:after="60" w:line="252" w:lineRule="auto"/>
        <w:ind w:firstLine="288"/>
        <w:jc w:val="both"/>
      </w:pPr>
      <w:r>
        <w:rPr>
          <w:rFonts w:ascii="Times New Roman" w:hAnsi="Times New Roman"/>
          <w:sz w:val="20"/>
        </w:rPr>
        <w:t>1) Stage 1 (Raw Architecture Exploration): Baselines were trained on unaugmented internal dataset images for 100 epochs using SGD with momentum 0.937, weight decay 0.0005, and initial learning rate 0.01 with cosine annealing.</w:t>
      </w:r>
    </w:p>
    <w:p>
      <w:pPr>
        <w:spacing w:after="60" w:line="252" w:lineRule="auto"/>
        <w:ind w:firstLine="288"/>
        <w:jc w:val="both"/>
      </w:pPr>
      <w:r>
        <w:rPr>
          <w:rFonts w:ascii="Times New Roman" w:hAnsi="Times New Roman"/>
          <w:sz w:val="20"/>
        </w:rPr>
        <w:t>2) Stage 2 (Domain Adaptation &amp; Augmentation): Models were subjected to intense geometric and photometric augmentations, including Mosaic (p=1.0), MixUp (p=0.15), HSV color jittering (H=0.015, S=0.7, V=0.4), and random scaling (0.5 to 1.5) to bridge internal and external domain shifts.</w:t>
      </w:r>
    </w:p>
    <w:p>
      <w:pPr>
        <w:spacing w:after="60" w:line="252" w:lineRule="auto"/>
        <w:ind w:firstLine="288"/>
        <w:jc w:val="both"/>
      </w:pPr>
      <w:r>
        <w:rPr>
          <w:rFonts w:ascii="Times New Roman" w:hAnsi="Times New Roman"/>
          <w:sz w:val="20"/>
        </w:rPr>
        <w:t>3) Stage 3 (Background-Null Regularization): To eliminate OOD false alarms, 460 confirmed background images with empty label files (zero bounding boxes) were integrated into the training corpus. The loss function was regularized as follows:</w:t>
      </w:r>
    </w:p>
    <w:p>
      <w:pPr>
        <w:spacing w:before="80" w:after="80"/>
        <w:jc w:val="right"/>
      </w:pPr>
      <w:r>
        <w:rPr>
          <w:rFonts w:ascii="Cambria Math" w:hAnsi="Cambria Math"/>
          <w:i/>
          <w:sz w:val="19"/>
        </w:rPr>
        <w:t xml:space="preserve">L_det = Σ_(i∈D_pos) [L_box(b_i, b̂_i) + L_cls(c_i, ĉ_i)] + Σ_(j∈D_null) L_cls(0, ĉ_j) </w:t>
      </w:r>
      <w:r>
        <w:rPr>
          <w:rFonts w:ascii="Times New Roman" w:hAnsi="Times New Roman"/>
          <w:sz w:val="19"/>
        </w:rPr>
        <w:t>(1)</w:t>
      </w:r>
    </w:p>
    <w:p>
      <w:pPr>
        <w:spacing w:after="60" w:line="252" w:lineRule="auto"/>
        <w:ind w:firstLine="288"/>
        <w:jc w:val="both"/>
      </w:pPr>
      <w:r>
        <w:rPr>
          <w:rFonts w:ascii="Times New Roman" w:hAnsi="Times New Roman"/>
          <w:sz w:val="20"/>
        </w:rPr>
        <w:t>By penalizing non-zero classification logits on verified negative scenes, the detector learns an explicit background rejection threshold, severely dampening background activations.</w:t>
      </w:r>
    </w:p>
    <w:p>
      <w:pPr>
        <w:spacing w:after="60" w:line="252" w:lineRule="auto"/>
        <w:ind w:firstLine="288"/>
        <w:jc w:val="both"/>
      </w:pPr>
      <w:r>
        <w:rPr>
          <w:rFonts w:ascii="Times New Roman" w:hAnsi="Times New Roman"/>
          <w:sz w:val="20"/>
        </w:rPr>
        <w:t>4) Stage 4 (Model Scaling &amp; Edge Quantization): To assess latency versus accuracy trade-offs on edge devices, the champion detector was scaled across Nano (2.6M params), Small (9.4M params), and Medium (20.1M params) configurations. Models were exported to 16-bit floating-point (FP16) TensorFlow Lite (TFLite) formats for low-power microcontroller deployment.</w:t>
      </w:r>
    </w:p>
    <w:p>
      <w:pPr>
        <w:spacing w:before="160" w:after="40"/>
        <w:jc w:val="left"/>
      </w:pPr>
      <w:r>
        <w:rPr>
          <w:rFonts w:ascii="Times New Roman" w:hAnsi="Times New Roman"/>
          <w:i/>
          <w:sz w:val="20"/>
        </w:rPr>
        <w:t>C. Intermediary Module: Dynamic RoI Auto-Cropping</w:t>
      </w:r>
    </w:p>
    <w:p>
      <w:pPr>
        <w:spacing w:after="60" w:line="252" w:lineRule="auto"/>
        <w:ind w:firstLine="288"/>
        <w:jc w:val="both"/>
      </w:pPr>
      <w:r>
        <w:rPr>
          <w:rFonts w:ascii="Times New Roman" w:hAnsi="Times New Roman"/>
          <w:sz w:val="20"/>
        </w:rPr>
        <w:t>For each candidate bounding box b_m = (x_c, y_c, w, h, s) detected in Stage 1 satisfying objectness threshold s_m ≥ τ_det, an adaptive Region of Interest (RoI) crop is extracted with a 10% contextual margin (α = 0.10):</w:t>
      </w:r>
    </w:p>
    <w:p>
      <w:pPr>
        <w:spacing w:before="80" w:after="80"/>
        <w:jc w:val="right"/>
      </w:pPr>
      <w:r>
        <w:rPr>
          <w:rFonts w:ascii="Cambria Math" w:hAnsi="Cambria Math"/>
          <w:i/>
          <w:sz w:val="19"/>
        </w:rPr>
        <w:t xml:space="preserve">x_min = max(0, x_c − (w/2)·(1+α)),   x_max = min(W, x_c + (w/2)·(1+α)) </w:t>
      </w:r>
      <w:r>
        <w:rPr>
          <w:rFonts w:ascii="Times New Roman" w:hAnsi="Times New Roman"/>
          <w:sz w:val="19"/>
        </w:rPr>
        <w:t>(2)</w:t>
      </w:r>
    </w:p>
    <w:p>
      <w:pPr>
        <w:spacing w:before="80" w:after="80"/>
        <w:jc w:val="right"/>
      </w:pPr>
      <w:r>
        <w:rPr>
          <w:rFonts w:ascii="Cambria Math" w:hAnsi="Cambria Math"/>
          <w:i/>
          <w:sz w:val="19"/>
        </w:rPr>
        <w:t xml:space="preserve">y_min = max(0, y_c − (h/2)·(1+α)),   y_max = min(H, y_c + (h/2)·(1+α)) </w:t>
      </w:r>
      <w:r>
        <w:rPr>
          <w:rFonts w:ascii="Times New Roman" w:hAnsi="Times New Roman"/>
          <w:sz w:val="19"/>
        </w:rPr>
        <w:t>(3)</w:t>
      </w:r>
    </w:p>
    <w:p>
      <w:pPr>
        <w:spacing w:after="60" w:line="252" w:lineRule="auto"/>
        <w:ind w:firstLine="288"/>
        <w:jc w:val="both"/>
      </w:pPr>
      <w:r>
        <w:rPr>
          <w:rFonts w:ascii="Times New Roman" w:hAnsi="Times New Roman"/>
          <w:sz w:val="20"/>
        </w:rPr>
        <w:t>This margin guarantees that slender appendages (antennae, peraeopods, uropods) remain intact. All crops are normalized to 224 × 224 pixels and standardized using ImageNet color statistics. Executing this module across the full dataset generated 12,446 curated specimen crops.</w:t>
      </w:r>
    </w:p>
    <w:p>
      <w:pPr>
        <w:spacing w:before="160" w:after="40"/>
        <w:jc w:val="left"/>
      </w:pPr>
      <w:r>
        <w:rPr>
          <w:rFonts w:ascii="Times New Roman" w:hAnsi="Times New Roman"/>
          <w:i/>
          <w:sz w:val="20"/>
        </w:rPr>
        <w:t>D. Stage 2: Foundation Few-Shot Metric Diagnosis</w:t>
      </w:r>
    </w:p>
    <w:p>
      <w:pPr>
        <w:spacing w:after="60" w:line="252" w:lineRule="auto"/>
        <w:ind w:firstLine="288"/>
        <w:jc w:val="both"/>
      </w:pPr>
      <w:r>
        <w:rPr>
          <w:rFonts w:ascii="Times New Roman" w:hAnsi="Times New Roman"/>
          <w:sz w:val="20"/>
        </w:rPr>
        <w:t>In Stage 2, extracted shrimp crops are mapped into a D-dimensional metric space via a deep feature extractor f_θ: R^(224×224×3) → R^D. Three feature backbones were compared:</w:t>
        <w:br/>
        <w:t>• DINOv2-ViT-S/14: Vision Transformer with 22.1M parameters trained via self-supervised discriminative distillation on 142M curated web images [13].</w:t>
        <w:br/>
        <w:t>• ConvNeXt-Tiny: Modernized pure convolutional architecture (28.6M parameters) [14].</w:t>
        <w:br/>
        <w:t>• ResNet-50: Traditional deep residual network (25.6M parameters) [15].</w:t>
      </w:r>
    </w:p>
    <w:p>
      <w:pPr>
        <w:spacing w:after="60" w:line="252" w:lineRule="auto"/>
        <w:ind w:firstLine="288"/>
        <w:jc w:val="both"/>
      </w:pPr>
      <w:r>
        <w:rPr>
          <w:rFonts w:ascii="Times New Roman" w:hAnsi="Times New Roman"/>
          <w:sz w:val="20"/>
        </w:rPr>
        <w:t>Feature embeddings are L2-normalized: z = f_θ(x) / ||f_θ(x)||_2. In an N-way K-shot episodic task, a support set S = {(x_i, y_i)} containing K reference examples for each of N conditions is provided. The class prototype p_c is computed as the geometric centroid:</w:t>
      </w:r>
    </w:p>
    <w:p>
      <w:pPr>
        <w:spacing w:before="80" w:after="80"/>
        <w:jc w:val="right"/>
      </w:pPr>
      <w:r>
        <w:rPr>
          <w:rFonts w:ascii="Cambria Math" w:hAnsi="Cambria Math"/>
          <w:i/>
          <w:sz w:val="19"/>
        </w:rPr>
        <w:t xml:space="preserve">p_c = (1/K) · Σ_((x_i, y_i) ∈ S_c) f_θ(x_i) </w:t>
      </w:r>
      <w:r>
        <w:rPr>
          <w:rFonts w:ascii="Times New Roman" w:hAnsi="Times New Roman"/>
          <w:sz w:val="19"/>
        </w:rPr>
        <w:t>(4)</w:t>
      </w:r>
    </w:p>
    <w:p>
      <w:pPr>
        <w:spacing w:after="60" w:line="252" w:lineRule="auto"/>
        <w:ind w:firstLine="288"/>
        <w:jc w:val="both"/>
      </w:pPr>
      <w:r>
        <w:rPr>
          <w:rFonts w:ascii="Times New Roman" w:hAnsi="Times New Roman"/>
          <w:sz w:val="20"/>
        </w:rPr>
        <w:t>Given an unlabelled query crop x_q, metric distances to all candidate prototypes are computed using Euclidean distance d_euc(z_q, p_c) = ||z_q - p_c||_2 and Cosine distance d_cos(z_q, p_c) = 1 - (z_q · p_c) / (||z_q|| ||p_c||). The predicted class is assigned via nearest-prototype selection: y_hat = argmin_c d(z_q, p_c).</w:t>
      </w:r>
    </w:p>
    <w:p>
      <w:pPr>
        <w:spacing w:before="240" w:after="80"/>
        <w:jc w:val="center"/>
      </w:pPr>
      <w:r>
        <w:rPr>
          <w:rFonts w:ascii="Times New Roman" w:hAnsi="Times New Roman"/>
          <w:b/>
          <w:sz w:val="20"/>
        </w:rPr>
        <w:t>III. RESULTS AND DISCUSSION</w:t>
      </w:r>
    </w:p>
    <w:p>
      <w:pPr>
        <w:spacing w:before="160" w:after="40"/>
        <w:jc w:val="left"/>
      </w:pPr>
      <w:r>
        <w:rPr>
          <w:rFonts w:ascii="Times New Roman" w:hAnsi="Times New Roman"/>
          <w:i/>
          <w:sz w:val="20"/>
        </w:rPr>
        <w:t>A. Evaluation of YOLO Object Detectors (Stage 1 to 4)</w:t>
      </w:r>
    </w:p>
    <w:p>
      <w:pPr>
        <w:spacing w:after="60" w:line="252" w:lineRule="auto"/>
        <w:ind w:firstLine="288"/>
        <w:jc w:val="both"/>
      </w:pPr>
      <w:r>
        <w:rPr>
          <w:rFonts w:ascii="Times New Roman" w:hAnsi="Times New Roman"/>
          <w:sz w:val="20"/>
        </w:rPr>
        <w:t>Table I provides a detailed comparative analysis of the 6 candidate detector architectures trained for 100 epochs on Stage 1. YOLO12n and YOLO11n demonstrated the highest localization capabilities, with YOLO11n achieving an outstanding recall of 96.38% and mAP@50 of 97.47%, while maintaining a compact footprint of 2.6M parameters and 2.8 ms latency.</w:t>
      </w:r>
    </w:p>
    <w:p>
      <w:pPr>
        <w:spacing w:before="160" w:after="40"/>
        <w:jc w:val="center"/>
      </w:pPr>
      <w:r>
        <w:rPr>
          <w:rFonts w:ascii="Times New Roman" w:hAnsi="Times New Roman"/>
          <w:b/>
          <w:sz w:val="16"/>
        </w:rPr>
        <w:t>TABLE I</w:t>
        <w:br/>
      </w:r>
      <w:r>
        <w:rPr>
          <w:rFonts w:ascii="Times New Roman" w:hAnsi="Times New Roman"/>
          <w:sz w:val="16"/>
        </w:rPr>
        <w:t>PERFORMANCE COMPARISON OF CANDIDATE YOLO ARCHITECTURES (STAGE 1)</w:t>
      </w:r>
    </w:p>
    <w:tbl>
      <w:tblPr>
        <w:jc w:val="center"/>
        <w:tblLayout w:type="fixed"/>
        <w:tblLook w:firstColumn="1" w:firstRow="1" w:lastColumn="0" w:lastRow="0" w:noHBand="0" w:noVBand="1" w:val="04A0"/>
        <w:tblW w:w="4823" w:type="dxa"/>
      </w:tblPr>
      <w:tblGrid>
        <w:gridCol w:w="1714"/>
        <w:gridCol w:w="1714"/>
        <w:gridCol w:w="1714"/>
        <w:gridCol w:w="1714"/>
        <w:gridCol w:w="1714"/>
        <w:gridCol w:w="1714"/>
      </w:tblGrid>
      <w:tr>
        <w:tc>
          <w:tcPr>
            <w:tcW w:w="1368"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Architecture</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mAP50</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mAP95</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Prec.</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Recall</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Params</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YOLOv8n</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97.12%</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90.07%</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95.00%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93.06%</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3.2 M</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YOLOv9t</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96.63%</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90.14%</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96.00%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91.94%</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2.0 M</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YOLOv10n</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96.42%</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89.20%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92.65%</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94.15%</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2.3 M</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YOLO11n (Ours)</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97.47%</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90.50%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91.21%</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96.38%</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2.6 M</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YOLO12n</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97.72%</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90.95%</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95.98%</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93.68%</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2.6 M</w:t>
            </w:r>
          </w:p>
        </w:tc>
      </w:tr>
      <w:tr>
        <w:tc>
          <w:tcPr>
            <w:tcW w:w="1368" w:type="dxa"/>
            <w:tcMar>
              <w:top w:w="40" w:type="dxa"/>
              <w:bottom w:w="40" w:type="dxa"/>
              <w:left w:w="30" w:type="dxa"/>
              <w:right w:w="30" w:type="dxa"/>
            </w:tcMar>
            <w:tcBorders>
              <w:top w:val="none"/>
              <w:left w:val="none"/>
              <w:bottom w:val="single" w:sz="12" w:space="0" w:color="000000"/>
              <w:right w:val="none"/>
              <w:insideH w:val="none"/>
              <w:insideV w:val="none"/>
            </w:tcBorders>
          </w:tcPr>
          <w:p>
            <w:pPr>
              <w:jc w:val="left"/>
            </w:pPr>
            <w:r>
              <w:rPr>
                <w:rFonts w:ascii="Times New Roman" w:hAnsi="Times New Roman"/>
                <w:sz w:val="14"/>
              </w:rPr>
              <w:t>YOLO26n</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96.23%</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90.26%</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95.49%</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92.96%</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2.4 M</w:t>
            </w:r>
          </w:p>
        </w:tc>
      </w:tr>
    </w:tbl>
    <w:p>
      <w:pPr>
        <w:spacing w:after="60" w:line="252" w:lineRule="auto"/>
        <w:ind w:firstLine="288"/>
        <w:jc w:val="both"/>
      </w:pPr>
      <w:r>
        <w:rPr>
          <w:rFonts w:ascii="Times New Roman" w:hAnsi="Times New Roman"/>
          <w:sz w:val="20"/>
        </w:rPr>
        <w:t>Table II evaluates domain adaptation across Stage 2. When trained solely on internal pond data, mAP@50 reached 98.92%, but dropped to 95.38% on external images due to lighting and camera variance. Combining internal and external data with heavy Mosaic/MixUp augmentation restored mAP@50 to 97.12%, proving excellent domain transferability.</w:t>
      </w:r>
    </w:p>
    <w:p>
      <w:pPr>
        <w:spacing w:before="160" w:after="40"/>
        <w:jc w:val="center"/>
      </w:pPr>
      <w:r>
        <w:rPr>
          <w:rFonts w:ascii="Times New Roman" w:hAnsi="Times New Roman"/>
          <w:b/>
          <w:sz w:val="16"/>
        </w:rPr>
        <w:t>TABLE II</w:t>
        <w:br/>
      </w:r>
      <w:r>
        <w:rPr>
          <w:rFonts w:ascii="Times New Roman" w:hAnsi="Times New Roman"/>
          <w:sz w:val="16"/>
        </w:rPr>
        <w:t>DOMAIN GENERALIZATION AND AUGMENTATION BENCHMARK (STAGE 2)</w:t>
      </w:r>
    </w:p>
    <w:tbl>
      <w:tblPr>
        <w:jc w:val="center"/>
        <w:tblLayout w:type="fixed"/>
        <w:tblLook w:firstColumn="1" w:firstRow="1" w:lastColumn="0" w:lastRow="0" w:noHBand="0" w:noVBand="1" w:val="04A0"/>
        <w:tblW w:w="4808" w:type="dxa"/>
      </w:tblPr>
      <w:tblGrid>
        <w:gridCol w:w="2057"/>
        <w:gridCol w:w="2057"/>
        <w:gridCol w:w="2057"/>
        <w:gridCol w:w="2057"/>
        <w:gridCol w:w="2057"/>
      </w:tblGrid>
      <w:tr>
        <w:tc>
          <w:tcPr>
            <w:tcW w:w="1368"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Dataset Domain</w:t>
            </w:r>
          </w:p>
        </w:tc>
        <w:tc>
          <w:tcPr>
            <w:tcW w:w="158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Augmentation Strategy</w:t>
            </w:r>
          </w:p>
        </w:tc>
        <w:tc>
          <w:tcPr>
            <w:tcW w:w="648"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mAP@50 (%)</w:t>
            </w:r>
          </w:p>
        </w:tc>
        <w:tc>
          <w:tcPr>
            <w:tcW w:w="60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Precision (%)</w:t>
            </w:r>
          </w:p>
        </w:tc>
        <w:tc>
          <w:tcPr>
            <w:tcW w:w="60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Recall (%)</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Internal Pond Only</w:t>
            </w:r>
          </w:p>
        </w:tc>
        <w:tc>
          <w:tcPr>
            <w:tcW w:w="158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Standard Geometric</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98.92</w:t>
            </w:r>
          </w:p>
        </w:tc>
        <w:tc>
          <w:tcPr>
            <w:tcW w:w="60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99.00</w:t>
            </w:r>
          </w:p>
        </w:tc>
        <w:tc>
          <w:tcPr>
            <w:tcW w:w="60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98.72</w:t>
            </w:r>
          </w:p>
        </w:tc>
      </w:tr>
      <w:tr>
        <w:tc>
          <w:tcPr>
            <w:tcW w:w="1368"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External Multi-Class Only</w:t>
            </w:r>
          </w:p>
        </w:tc>
        <w:tc>
          <w:tcPr>
            <w:tcW w:w="158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Standard Geometric</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95.38</w:t>
            </w:r>
          </w:p>
        </w:tc>
        <w:tc>
          <w:tcPr>
            <w:tcW w:w="60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92.45</w:t>
            </w:r>
          </w:p>
        </w:tc>
        <w:tc>
          <w:tcPr>
            <w:tcW w:w="60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92.32</w:t>
            </w:r>
          </w:p>
        </w:tc>
      </w:tr>
      <w:tr>
        <w:tc>
          <w:tcPr>
            <w:tcW w:w="1368" w:type="dxa"/>
            <w:tcMar>
              <w:top w:w="40" w:type="dxa"/>
              <w:bottom w:w="40" w:type="dxa"/>
              <w:left w:w="30" w:type="dxa"/>
              <w:right w:w="30" w:type="dxa"/>
            </w:tcMar>
            <w:tcBorders>
              <w:top w:val="none"/>
              <w:left w:val="none"/>
              <w:bottom w:val="single" w:sz="12" w:space="0" w:color="000000"/>
              <w:right w:val="none"/>
              <w:insideH w:val="none"/>
              <w:insideV w:val="none"/>
            </w:tcBorders>
          </w:tcPr>
          <w:p>
            <w:pPr>
              <w:jc w:val="left"/>
            </w:pPr>
            <w:r>
              <w:rPr>
                <w:rFonts w:ascii="Times New Roman" w:hAnsi="Times New Roman"/>
                <w:sz w:val="14"/>
              </w:rPr>
              <w:t>Combined Domain (Ours)</w:t>
            </w:r>
          </w:p>
        </w:tc>
        <w:tc>
          <w:tcPr>
            <w:tcW w:w="158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Mosaic + MixUp + HSV Jitter</w:t>
            </w:r>
          </w:p>
        </w:tc>
        <w:tc>
          <w:tcPr>
            <w:tcW w:w="648"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97.12</w:t>
            </w:r>
          </w:p>
        </w:tc>
        <w:tc>
          <w:tcPr>
            <w:tcW w:w="60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95.83</w:t>
            </w:r>
          </w:p>
        </w:tc>
        <w:tc>
          <w:tcPr>
            <w:tcW w:w="60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95.05</w:t>
            </w:r>
          </w:p>
        </w:tc>
      </w:tr>
    </w:tbl>
    <w:p>
      <w:pPr>
        <w:spacing w:after="60" w:line="252" w:lineRule="auto"/>
        <w:ind w:firstLine="288"/>
        <w:jc w:val="both"/>
      </w:pPr>
      <w:r>
        <w:rPr>
          <w:rFonts w:ascii="Times New Roman" w:hAnsi="Times New Roman"/>
          <w:sz w:val="20"/>
        </w:rPr>
        <w:t>Table III highlights the transformative impact of Background-Null Regularization (Stage 3). Standard detectors without null images triggered 47 false alarms across the 700 OOD negative images (False Positive Rate = 6.71%), hallucinating diseased shrimp on human skin and aerator foam. Incorporating null regularization completely eliminated false alarms (FPR = 0.00% at optimal threshold τ = 0.36) while simultaneously boosting shrimp localization mAP@50 to 99.26%.</w:t>
      </w:r>
    </w:p>
    <w:p>
      <w:pPr>
        <w:spacing w:before="160" w:after="40"/>
        <w:jc w:val="center"/>
      </w:pPr>
      <w:r>
        <w:rPr>
          <w:rFonts w:ascii="Times New Roman" w:hAnsi="Times New Roman"/>
          <w:b/>
          <w:sz w:val="16"/>
        </w:rPr>
        <w:t>TABLE III</w:t>
        <w:br/>
      </w:r>
      <w:r>
        <w:rPr>
          <w:rFonts w:ascii="Times New Roman" w:hAnsi="Times New Roman"/>
          <w:sz w:val="16"/>
        </w:rPr>
        <w:t>BACKGROUND-NULL REGULARIZATION AND OOD FALSE ALARM REJECTION (STAGE 3)</w:t>
      </w:r>
    </w:p>
    <w:tbl>
      <w:tblPr>
        <w:jc w:val="center"/>
        <w:tblLayout w:type="fixed"/>
        <w:tblLook w:firstColumn="1" w:firstRow="1" w:lastColumn="0" w:lastRow="0" w:noHBand="0" w:noVBand="1" w:val="04A0"/>
        <w:tblW w:w="4752" w:type="dxa"/>
      </w:tblPr>
      <w:tblGrid>
        <w:gridCol w:w="2057"/>
        <w:gridCol w:w="2057"/>
        <w:gridCol w:w="2057"/>
        <w:gridCol w:w="2057"/>
        <w:gridCol w:w="2057"/>
      </w:tblGrid>
      <w:tr>
        <w:tc>
          <w:tcPr>
            <w:tcW w:w="158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Training Scheme</w:t>
            </w:r>
          </w:p>
        </w:tc>
        <w:tc>
          <w:tcPr>
            <w:tcW w:w="720"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mAP@50 (%)</w:t>
            </w:r>
          </w:p>
        </w:tc>
        <w:tc>
          <w:tcPr>
            <w:tcW w:w="86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In-Pond OOD (400)</w:t>
            </w:r>
          </w:p>
        </w:tc>
        <w:tc>
          <w:tcPr>
            <w:tcW w:w="792"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Ext. OOD (300)</w:t>
            </w:r>
          </w:p>
        </w:tc>
        <w:tc>
          <w:tcPr>
            <w:tcW w:w="792"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FPR (%)</w:t>
            </w:r>
          </w:p>
        </w:tc>
      </w:tr>
      <w:tr>
        <w:tc>
          <w:tcPr>
            <w:tcW w:w="1584"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Standard YOLO (No Null)</w:t>
            </w:r>
          </w:p>
        </w:tc>
        <w:tc>
          <w:tcPr>
            <w:tcW w:w="720"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96.84</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28 / 400 (7.0%)</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19 / 300 (6.3%)</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6.71%</w:t>
            </w:r>
          </w:p>
        </w:tc>
      </w:tr>
      <w:tr>
        <w:tc>
          <w:tcPr>
            <w:tcW w:w="1584"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Binary Null-Regularized</w:t>
            </w:r>
          </w:p>
        </w:tc>
        <w:tc>
          <w:tcPr>
            <w:tcW w:w="720"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99.26</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0 / 400 (0.0%)</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0 / 300 (0.0%)</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0.00%*</w:t>
            </w:r>
          </w:p>
        </w:tc>
      </w:tr>
      <w:tr>
        <w:tc>
          <w:tcPr>
            <w:tcW w:w="1584" w:type="dxa"/>
            <w:tcMar>
              <w:top w:w="40" w:type="dxa"/>
              <w:bottom w:w="40" w:type="dxa"/>
              <w:left w:w="30" w:type="dxa"/>
              <w:right w:w="30" w:type="dxa"/>
            </w:tcMar>
            <w:tcBorders>
              <w:top w:val="none"/>
              <w:left w:val="none"/>
              <w:bottom w:val="single" w:sz="12" w:space="0" w:color="000000"/>
              <w:right w:val="none"/>
              <w:insideH w:val="none"/>
              <w:insideV w:val="none"/>
            </w:tcBorders>
          </w:tcPr>
          <w:p>
            <w:pPr>
              <w:jc w:val="left"/>
            </w:pPr>
            <w:r>
              <w:rPr>
                <w:rFonts w:ascii="Times New Roman" w:hAnsi="Times New Roman"/>
                <w:sz w:val="14"/>
              </w:rPr>
              <w:t>Multiclass Null-Regularized</w:t>
            </w:r>
          </w:p>
        </w:tc>
        <w:tc>
          <w:tcPr>
            <w:tcW w:w="720"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96.23</w:t>
            </w:r>
          </w:p>
        </w:tc>
        <w:tc>
          <w:tcPr>
            <w:tcW w:w="86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1 / 400 (0.25%)</w:t>
            </w:r>
          </w:p>
        </w:tc>
        <w:tc>
          <w:tcPr>
            <w:tcW w:w="792"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1 / 300 (0.33%)</w:t>
            </w:r>
          </w:p>
        </w:tc>
        <w:tc>
          <w:tcPr>
            <w:tcW w:w="792"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0.29%*</w:t>
            </w:r>
          </w:p>
        </w:tc>
      </w:tr>
    </w:tbl>
    <w:p>
      <w:r>
        <w:rPr>
          <w:rFonts w:ascii="Times New Roman" w:hAnsi="Times New Roman"/>
          <w:i/>
          <w:sz w:val="15"/>
        </w:rPr>
        <w:t>*Evaluated at optimal operating threshold τ = 0.36.</w:t>
      </w:r>
    </w:p>
    <w:p>
      <w:pPr>
        <w:spacing w:after="60" w:line="252" w:lineRule="auto"/>
        <w:ind w:firstLine="288"/>
        <w:jc w:val="both"/>
      </w:pPr>
      <w:r>
        <w:rPr>
          <w:rFonts w:ascii="Times New Roman" w:hAnsi="Times New Roman"/>
          <w:sz w:val="20"/>
        </w:rPr>
        <w:t>Table IV compares model scaling and edge quantization (Stage 4). Scaling to Small (9.4M) and Medium (20.1M) models yielded marginal localization gains (+0.5% mAP50-95) but tripled latency and increased memory consumption 7-fold. Crucially, exporting the Nano detector to TFLite FP16 slashed storage size from 5.61 MB to 2.89 MB (48.5% savings) with identical mAP accuracy, proving ideal for solar-powered microcontroller deployment.</w:t>
      </w:r>
    </w:p>
    <w:p>
      <w:pPr>
        <w:spacing w:before="160" w:after="40"/>
        <w:jc w:val="center"/>
      </w:pPr>
      <w:r>
        <w:rPr>
          <w:rFonts w:ascii="Times New Roman" w:hAnsi="Times New Roman"/>
          <w:b/>
          <w:sz w:val="16"/>
        </w:rPr>
        <w:t>TABLE IV</w:t>
        <w:br/>
      </w:r>
      <w:r>
        <w:rPr>
          <w:rFonts w:ascii="Times New Roman" w:hAnsi="Times New Roman"/>
          <w:sz w:val="16"/>
        </w:rPr>
        <w:t>MODEL SCALING AND TFLITE FP16 QUANTIZATION ANALYSIS (STAGE 4)</w:t>
      </w:r>
    </w:p>
    <w:tbl>
      <w:tblPr>
        <w:jc w:val="center"/>
        <w:tblLayout w:type="fixed"/>
        <w:tblLook w:firstColumn="1" w:firstRow="1" w:lastColumn="0" w:lastRow="0" w:noHBand="0" w:noVBand="1" w:val="04A0"/>
        <w:tblW w:w="4752" w:type="dxa"/>
      </w:tblPr>
      <w:tblGrid>
        <w:gridCol w:w="1714"/>
        <w:gridCol w:w="1714"/>
        <w:gridCol w:w="1714"/>
        <w:gridCol w:w="1714"/>
        <w:gridCol w:w="1714"/>
        <w:gridCol w:w="1714"/>
      </w:tblGrid>
      <w:tr>
        <w:tc>
          <w:tcPr>
            <w:tcW w:w="1080"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Model Scale</w:t>
            </w:r>
          </w:p>
        </w:tc>
        <w:tc>
          <w:tcPr>
            <w:tcW w:w="86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Format</w:t>
            </w:r>
          </w:p>
        </w:tc>
        <w:tc>
          <w:tcPr>
            <w:tcW w:w="720"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Size (MB)</w:t>
            </w:r>
          </w:p>
        </w:tc>
        <w:tc>
          <w:tcPr>
            <w:tcW w:w="792"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Compression</w:t>
            </w:r>
          </w:p>
        </w:tc>
        <w:tc>
          <w:tcPr>
            <w:tcW w:w="648"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Latency</w:t>
            </w:r>
          </w:p>
        </w:tc>
        <w:tc>
          <w:tcPr>
            <w:tcW w:w="648"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mAP@50 (%)</w:t>
            </w:r>
          </w:p>
        </w:tc>
      </w:tr>
      <w:tr>
        <w:tc>
          <w:tcPr>
            <w:tcW w:w="1080"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Nano (Champion)</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PyTorch (.pt)</w:t>
            </w:r>
          </w:p>
        </w:tc>
        <w:tc>
          <w:tcPr>
            <w:tcW w:w="720"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5.61 MB</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Baseline</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2.80 ms</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99.26</w:t>
            </w:r>
          </w:p>
        </w:tc>
      </w:tr>
      <w:tr>
        <w:tc>
          <w:tcPr>
            <w:tcW w:w="1080"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Nano (Champion)</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TFLite FP16</w:t>
            </w:r>
          </w:p>
        </w:tc>
        <w:tc>
          <w:tcPr>
            <w:tcW w:w="720"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2.89 MB</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48.5% Reduction</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2.82 ms</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99.25</w:t>
            </w:r>
          </w:p>
        </w:tc>
      </w:tr>
      <w:tr>
        <w:tc>
          <w:tcPr>
            <w:tcW w:w="1080"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Small Scale</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PyTorch (.pt)</w:t>
            </w:r>
          </w:p>
        </w:tc>
        <w:tc>
          <w:tcPr>
            <w:tcW w:w="720"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19.30 MB</w:t>
            </w:r>
          </w:p>
        </w:tc>
        <w:tc>
          <w:tcPr>
            <w:tcW w:w="792"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4.12 ms</w:t>
            </w:r>
          </w:p>
        </w:tc>
        <w:tc>
          <w:tcPr>
            <w:tcW w:w="648"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96.29</w:t>
            </w:r>
          </w:p>
        </w:tc>
      </w:tr>
      <w:tr>
        <w:tc>
          <w:tcPr>
            <w:tcW w:w="1080" w:type="dxa"/>
            <w:tcMar>
              <w:top w:w="40" w:type="dxa"/>
              <w:bottom w:w="40" w:type="dxa"/>
              <w:left w:w="30" w:type="dxa"/>
              <w:right w:w="30" w:type="dxa"/>
            </w:tcMar>
            <w:tcBorders>
              <w:top w:val="none"/>
              <w:left w:val="none"/>
              <w:bottom w:val="single" w:sz="12" w:space="0" w:color="000000"/>
              <w:right w:val="none"/>
              <w:insideH w:val="none"/>
              <w:insideV w:val="none"/>
            </w:tcBorders>
          </w:tcPr>
          <w:p>
            <w:pPr>
              <w:jc w:val="left"/>
            </w:pPr>
            <w:r>
              <w:rPr>
                <w:rFonts w:ascii="Times New Roman" w:hAnsi="Times New Roman"/>
                <w:sz w:val="14"/>
              </w:rPr>
              <w:t>Medium Scale</w:t>
            </w:r>
          </w:p>
        </w:tc>
        <w:tc>
          <w:tcPr>
            <w:tcW w:w="86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PyTorch (.pt)</w:t>
            </w:r>
          </w:p>
        </w:tc>
        <w:tc>
          <w:tcPr>
            <w:tcW w:w="720"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41.20 MB</w:t>
            </w:r>
          </w:p>
        </w:tc>
        <w:tc>
          <w:tcPr>
            <w:tcW w:w="792"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w:t>
            </w:r>
          </w:p>
        </w:tc>
        <w:tc>
          <w:tcPr>
            <w:tcW w:w="648"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7.45 ms</w:t>
            </w:r>
          </w:p>
        </w:tc>
        <w:tc>
          <w:tcPr>
            <w:tcW w:w="648"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97.32</w:t>
            </w:r>
          </w:p>
        </w:tc>
      </w:tr>
    </w:tbl>
    <w:p>
      <w:pPr>
        <w:spacing w:before="160" w:after="40"/>
        <w:jc w:val="left"/>
      </w:pPr>
      <w:r>
        <w:rPr>
          <w:rFonts w:ascii="Times New Roman" w:hAnsi="Times New Roman"/>
          <w:i/>
          <w:sz w:val="20"/>
        </w:rPr>
        <w:t>B. Model Interpretability and Decision Boundary Analysis</w:t>
      </w:r>
    </w:p>
    <w:p>
      <w:pPr>
        <w:spacing w:after="60" w:line="252" w:lineRule="auto"/>
        <w:ind w:firstLine="288"/>
        <w:jc w:val="both"/>
      </w:pPr>
      <w:r>
        <w:rPr>
          <w:rFonts w:ascii="Times New Roman" w:hAnsi="Times New Roman"/>
          <w:sz w:val="20"/>
        </w:rPr>
        <w:t>To verify that Stage 1 localization is grounded in genuine anatomical features, Eigen-CAM / Grad-CAM activation maps were extracted from the penultimate neck layer. As depicted in Fig. 2, the detector produces concentrated activations over the cephalothorax, rostrum, and abdominal segments. When evaluated on negative OOD images containing human hands or water foam, activations remain completely blank, confirming that the null regularization eliminated background hallucinations.</w:t>
      </w:r>
    </w:p>
    <w:p>
      <w:pPr>
        <w:spacing w:before="120" w:after="40"/>
        <w:jc w:val="center"/>
      </w:pPr>
      <w:r>
        <w:drawing>
          <wp:inline>
            <wp:extent cx="3063240" cy="3675888"/>
            <wp:docPr id="11" name="Picture 11"/>
            <wp:cNvGraphicFramePr>
              <a:graphicFrameLocks noChangeAspect="1"/>
            </wp:cNvGraphicFramePr>
            <a:graphic>
              <a:graphicData uri="http://schemas.openxmlformats.org/drawingml/2006/picture">
                <pic:pic>
                  <pic:nvPicPr>
                    <pic:cNvPr id="0" name="gradcam_optimized.jpg"/>
                    <pic:cNvPicPr/>
                  </pic:nvPicPr>
                  <pic:blipFill>
                    <a:blip r:embed="rId14"/>
                    <a:stretch>
                      <a:fillRect/>
                    </a:stretch>
                  </pic:blipFill>
                  <pic:spPr>
                    <a:xfrm>
                      <a:off x="0" y="0"/>
                      <a:ext cx="3063240" cy="3675888"/>
                    </a:xfrm>
                    <a:prstGeom prst="rect"/>
                  </pic:spPr>
                </pic:pic>
              </a:graphicData>
            </a:graphic>
          </wp:inline>
        </w:drawing>
      </w:r>
    </w:p>
    <w:p>
      <w:pPr>
        <w:spacing w:after="120"/>
        <w:jc w:val="both"/>
      </w:pPr>
      <w:r>
        <w:rPr>
          <w:rFonts w:ascii="Times New Roman" w:hAnsi="Times New Roman"/>
          <w:b/>
          <w:sz w:val="16"/>
        </w:rPr>
        <w:t xml:space="preserve">Fig. 2. </w:t>
      </w:r>
      <w:r>
        <w:rPr>
          <w:rFonts w:ascii="Times New Roman" w:hAnsi="Times New Roman"/>
          <w:sz w:val="16"/>
        </w:rPr>
        <w:t>Grad-CAM / Eigen-CAM feature interpretability across representative aquaculture samples. Heatmaps demonstrate precise spatial focus on shrimp anatomical structures while maintaining zero activation on human hands and turbid water backgrounds.</w:t>
      </w:r>
    </w:p>
    <w:p>
      <w:pPr>
        <w:spacing w:before="120" w:after="40"/>
        <w:jc w:val="center"/>
      </w:pPr>
      <w:r>
        <w:drawing>
          <wp:inline>
            <wp:extent cx="3063240" cy="1670858"/>
            <wp:docPr id="12" name="Picture 12"/>
            <wp:cNvGraphicFramePr>
              <a:graphicFrameLocks noChangeAspect="1"/>
            </wp:cNvGraphicFramePr>
            <a:graphic>
              <a:graphicData uri="http://schemas.openxmlformats.org/drawingml/2006/picture">
                <pic:pic>
                  <pic:nvPicPr>
                    <pic:cNvPr id="0" name="threshold_optimization_curve.png"/>
                    <pic:cNvPicPr/>
                  </pic:nvPicPr>
                  <pic:blipFill>
                    <a:blip r:embed="rId15"/>
                    <a:stretch>
                      <a:fillRect/>
                    </a:stretch>
                  </pic:blipFill>
                  <pic:spPr>
                    <a:xfrm>
                      <a:off x="0" y="0"/>
                      <a:ext cx="3063240" cy="1670858"/>
                    </a:xfrm>
                    <a:prstGeom prst="rect"/>
                  </pic:spPr>
                </pic:pic>
              </a:graphicData>
            </a:graphic>
          </wp:inline>
        </w:drawing>
      </w:r>
    </w:p>
    <w:p>
      <w:pPr>
        <w:spacing w:after="120"/>
        <w:jc w:val="both"/>
      </w:pPr>
      <w:r>
        <w:rPr>
          <w:rFonts w:ascii="Times New Roman" w:hAnsi="Times New Roman"/>
          <w:b/>
          <w:sz w:val="16"/>
        </w:rPr>
        <w:t xml:space="preserve">Fig. 3. </w:t>
      </w:r>
      <w:r>
        <w:rPr>
          <w:rFonts w:ascii="Times New Roman" w:hAnsi="Times New Roman"/>
          <w:sz w:val="16"/>
        </w:rPr>
        <w:t>Operating threshold optimization curve displaying F1-Score versus False Alarm Rate. The optimal operating point τ = 0.36 achieves peak F1-score while guaranteeing 0.0% false alarm rate on OOD images.</w:t>
      </w:r>
    </w:p>
    <w:p>
      <w:pPr>
        <w:spacing w:before="160" w:after="40"/>
        <w:jc w:val="left"/>
      </w:pPr>
      <w:r>
        <w:rPr>
          <w:rFonts w:ascii="Times New Roman" w:hAnsi="Times New Roman"/>
          <w:i/>
          <w:sz w:val="20"/>
        </w:rPr>
        <w:t>C. Few-Shot Learning Disease Diagnosis Performance</w:t>
      </w:r>
    </w:p>
    <w:p>
      <w:pPr>
        <w:spacing w:after="60" w:line="252" w:lineRule="auto"/>
        <w:ind w:firstLine="288"/>
        <w:jc w:val="both"/>
      </w:pPr>
      <w:r>
        <w:rPr>
          <w:rFonts w:ascii="Times New Roman" w:hAnsi="Times New Roman"/>
          <w:sz w:val="20"/>
        </w:rPr>
        <w:t>Table V presents the primary 5-way Few-Shot Learning results averaged across 100 Monte Carlo episodes for K ∈ {1, 5, 10} support shots.</w:t>
      </w:r>
    </w:p>
    <w:p>
      <w:pPr>
        <w:spacing w:before="160" w:after="40"/>
        <w:jc w:val="center"/>
      </w:pPr>
      <w:r>
        <w:rPr>
          <w:rFonts w:ascii="Times New Roman" w:hAnsi="Times New Roman"/>
          <w:b/>
          <w:sz w:val="16"/>
        </w:rPr>
        <w:t>TABLE V</w:t>
        <w:br/>
      </w:r>
      <w:r>
        <w:rPr>
          <w:rFonts w:ascii="Times New Roman" w:hAnsi="Times New Roman"/>
          <w:sz w:val="16"/>
        </w:rPr>
        <w:t>5-WAY FEW-SHOT DIAGNOSTIC ACCURACY (%) ACROSS SUPPORT SHOTS (K ∈ {1, 5, 10})</w:t>
      </w:r>
    </w:p>
    <w:tbl>
      <w:tblPr>
        <w:jc w:val="center"/>
        <w:tblLayout w:type="fixed"/>
        <w:tblLook w:firstColumn="1" w:firstRow="1" w:lastColumn="0" w:lastRow="0" w:noHBand="0" w:noVBand="1" w:val="04A0"/>
        <w:tblW w:w="4809" w:type="dxa"/>
      </w:tblPr>
      <w:tblGrid>
        <w:gridCol w:w="2057"/>
        <w:gridCol w:w="2057"/>
        <w:gridCol w:w="2057"/>
        <w:gridCol w:w="2057"/>
        <w:gridCol w:w="2057"/>
      </w:tblGrid>
      <w:tr>
        <w:tc>
          <w:tcPr>
            <w:tcW w:w="1512"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Framework / Model</w:t>
            </w:r>
          </w:p>
        </w:tc>
        <w:tc>
          <w:tcPr>
            <w:tcW w:w="122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Distance Metric</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1-Shot</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5-Shot</w:t>
            </w:r>
          </w:p>
        </w:tc>
        <w:tc>
          <w:tcPr>
            <w:tcW w:w="691"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10-Shot</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Random Guess Baseline</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Uniform Prior</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20.00%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20.00%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20.00%</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DINOv2 + Linear FT</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Cross-Entropy Loss</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45.57 ± 2.26</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65.55 ± 2.11</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73.04 ± 2.31</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ResNet-50 (ProtoNet)</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Euclidean Distance</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41.96 ± 1.51</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59.53 ± 1.67</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64.05 ± 1.62</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ResNet-50 (ProtoNet)</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Cosine Distance</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42.63 ± 1.71</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56.59 ± 1.48</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63.76 ± 1.55</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ConvNeXt-Tiny (ProtoNet)</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Euclidean Distance</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45.12 ± 1.84</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64.47 ± 1.73</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69.68 ± 1.54</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ConvNeXt-Tiny (ProtoNet)</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Cosine Distance</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46.59 ± 1.89</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63.36 ± 1.43</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68.08 ± 1.59</w:t>
            </w:r>
          </w:p>
        </w:tc>
      </w:tr>
      <w:tr>
        <w:tc>
          <w:tcPr>
            <w:tcW w:w="1512"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DINOv2 (ProtoNet - Proposed)</w:t>
            </w:r>
          </w:p>
        </w:tc>
        <w:tc>
          <w:tcPr>
            <w:tcW w:w="122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Euclidean Distance</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45.59 ± 1.59</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65.76 ± 1.50</w:t>
            </w:r>
          </w:p>
        </w:tc>
        <w:tc>
          <w:tcPr>
            <w:tcW w:w="691"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70.28 ± 1.42</w:t>
            </w:r>
          </w:p>
        </w:tc>
      </w:tr>
      <w:tr>
        <w:tc>
          <w:tcPr>
            <w:tcW w:w="1512" w:type="dxa"/>
            <w:tcMar>
              <w:top w:w="40" w:type="dxa"/>
              <w:bottom w:w="40" w:type="dxa"/>
              <w:left w:w="30" w:type="dxa"/>
              <w:right w:w="30" w:type="dxa"/>
            </w:tcMar>
            <w:tcBorders>
              <w:top w:val="none"/>
              <w:left w:val="none"/>
              <w:bottom w:val="single" w:sz="12" w:space="0" w:color="000000"/>
              <w:right w:val="none"/>
              <w:insideH w:val="none"/>
              <w:insideV w:val="none"/>
            </w:tcBorders>
          </w:tcPr>
          <w:p>
            <w:pPr>
              <w:jc w:val="left"/>
            </w:pPr>
            <w:r>
              <w:rPr>
                <w:rFonts w:ascii="Times New Roman" w:hAnsi="Times New Roman"/>
                <w:sz w:val="14"/>
              </w:rPr>
              <w:t>DINOv2 (ProtoNet - Proposed)</w:t>
            </w:r>
          </w:p>
        </w:tc>
        <w:tc>
          <w:tcPr>
            <w:tcW w:w="122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Cosine Distance</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44.81 ± 1.76</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65.55 ± 1.74</w:t>
            </w:r>
          </w:p>
        </w:tc>
        <w:tc>
          <w:tcPr>
            <w:tcW w:w="691"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70.59 ± 1.50</w:t>
            </w:r>
          </w:p>
        </w:tc>
      </w:tr>
    </w:tbl>
    <w:p>
      <w:pPr>
        <w:spacing w:after="60" w:line="252" w:lineRule="auto"/>
        <w:ind w:firstLine="288"/>
        <w:jc w:val="both"/>
      </w:pPr>
      <w:r>
        <w:rPr>
          <w:rFonts w:ascii="Times New Roman" w:hAnsi="Times New Roman"/>
          <w:sz w:val="20"/>
        </w:rPr>
        <w:t>Three vital conclusions emerge from the few-shot evaluation:</w:t>
        <w:br/>
        <w:t>1) Superiority of Self-Supervised Representations: DINOv2 substantially outperformed supervised ResNet-50 (+6.23% at 5-shot, +6.23% at 10-shot). The self-supervised objective preserves granular visual details (such as melanized gill filaments in Blackgill and muscle opacity in IMNV) that supervised CNNs discard.</w:t>
        <w:br/>
        <w:t>2) Superior Optimization Stability: While gradient fine-tuning achieved competitive mean accuracy at K=10, its 95% confidence interval was significantly wider (±2.31% vs ±1.42% for ProtoNet). Gradient descent on K ≤ 5 samples suffers from severe variance and overparameterization, whereas ProtoNet computes deterministic geometric centroids without gradient updates.</w:t>
        <w:br/>
        <w:t>3) Visual Manifold Separation: As shown in the t-SNE projection (Fig. 4), DINOv2 visual features form naturally distinct clusters for Healthy, WSSV, Blackgill, and IMNV specimens, confirming the robustness of metric distance assignment.</w:t>
      </w:r>
    </w:p>
    <w:p>
      <w:pPr>
        <w:spacing w:before="120" w:after="40"/>
        <w:jc w:val="center"/>
      </w:pPr>
      <w:r>
        <w:drawing>
          <wp:inline>
            <wp:extent cx="3108960" cy="2504291"/>
            <wp:docPr id="13" name="Picture 13"/>
            <wp:cNvGraphicFramePr>
              <a:graphicFrameLocks noChangeAspect="1"/>
            </wp:cNvGraphicFramePr>
            <a:graphic>
              <a:graphicData uri="http://schemas.openxmlformats.org/drawingml/2006/picture">
                <pic:pic>
                  <pic:nvPicPr>
                    <pic:cNvPr id="0" name="fig_tsne_embeddings.png"/>
                    <pic:cNvPicPr/>
                  </pic:nvPicPr>
                  <pic:blipFill>
                    <a:blip r:embed="rId16"/>
                    <a:stretch>
                      <a:fillRect/>
                    </a:stretch>
                  </pic:blipFill>
                  <pic:spPr>
                    <a:xfrm>
                      <a:off x="0" y="0"/>
                      <a:ext cx="3108960" cy="2504291"/>
                    </a:xfrm>
                    <a:prstGeom prst="rect"/>
                  </pic:spPr>
                </pic:pic>
              </a:graphicData>
            </a:graphic>
          </wp:inline>
        </w:drawing>
      </w:r>
    </w:p>
    <w:p>
      <w:pPr>
        <w:spacing w:after="120"/>
        <w:jc w:val="both"/>
      </w:pPr>
      <w:r>
        <w:rPr>
          <w:rFonts w:ascii="Times New Roman" w:hAnsi="Times New Roman"/>
          <w:b/>
          <w:sz w:val="16"/>
        </w:rPr>
        <w:t xml:space="preserve">Fig. 4. </w:t>
      </w:r>
      <w:r>
        <w:rPr>
          <w:rFonts w:ascii="Times New Roman" w:hAnsi="Times New Roman"/>
          <w:sz w:val="16"/>
        </w:rPr>
        <w:t>t-SNE 2D manifold projection of visual feature representations extracted by DINOv2 across diverse shrimp health and disease conditions.</w:t>
      </w:r>
    </w:p>
    <w:p>
      <w:pPr>
        <w:spacing w:before="120" w:after="40"/>
        <w:jc w:val="center"/>
      </w:pPr>
      <w:r>
        <w:drawing>
          <wp:inline>
            <wp:extent cx="3108960" cy="2216792"/>
            <wp:docPr id="14" name="Picture 14"/>
            <wp:cNvGraphicFramePr>
              <a:graphicFrameLocks noChangeAspect="1"/>
            </wp:cNvGraphicFramePr>
            <a:graphic>
              <a:graphicData uri="http://schemas.openxmlformats.org/drawingml/2006/picture">
                <pic:pic>
                  <pic:nvPicPr>
                    <pic:cNvPr id="0" name="fig_kshot_comparison.png"/>
                    <pic:cNvPicPr/>
                  </pic:nvPicPr>
                  <pic:blipFill>
                    <a:blip r:embed="rId17"/>
                    <a:stretch>
                      <a:fillRect/>
                    </a:stretch>
                  </pic:blipFill>
                  <pic:spPr>
                    <a:xfrm>
                      <a:off x="0" y="0"/>
                      <a:ext cx="3108960" cy="2216792"/>
                    </a:xfrm>
                    <a:prstGeom prst="rect"/>
                  </pic:spPr>
                </pic:pic>
              </a:graphicData>
            </a:graphic>
          </wp:inline>
        </w:drawing>
      </w:r>
    </w:p>
    <w:p>
      <w:pPr>
        <w:spacing w:after="120"/>
        <w:jc w:val="both"/>
      </w:pPr>
      <w:r>
        <w:rPr>
          <w:rFonts w:ascii="Times New Roman" w:hAnsi="Times New Roman"/>
          <w:b/>
          <w:sz w:val="16"/>
        </w:rPr>
        <w:t xml:space="preserve">Fig. 5. </w:t>
      </w:r>
      <w:r>
        <w:rPr>
          <w:rFonts w:ascii="Times New Roman" w:hAnsi="Times New Roman"/>
          <w:sz w:val="16"/>
        </w:rPr>
        <w:t>5-Way Few-Shot diagnostic accuracy across varying support shots (K ∈ {1, 5, 10}) comparing DINOv2, ConvNeXt-Tiny, ResNet-50, and baseline Conventional Fine-Tuning.</w:t>
      </w:r>
    </w:p>
    <w:p>
      <w:pPr>
        <w:spacing w:before="120" w:after="40"/>
        <w:jc w:val="center"/>
      </w:pPr>
      <w:r>
        <w:drawing>
          <wp:inline>
            <wp:extent cx="2926080" cy="2574551"/>
            <wp:docPr id="15" name="Picture 15"/>
            <wp:cNvGraphicFramePr>
              <a:graphicFrameLocks noChangeAspect="1"/>
            </wp:cNvGraphicFramePr>
            <a:graphic>
              <a:graphicData uri="http://schemas.openxmlformats.org/drawingml/2006/picture">
                <pic:pic>
                  <pic:nvPicPr>
                    <pic:cNvPr id="0" name="fig_confusion_matrix.png"/>
                    <pic:cNvPicPr/>
                  </pic:nvPicPr>
                  <pic:blipFill>
                    <a:blip r:embed="rId18"/>
                    <a:stretch>
                      <a:fillRect/>
                    </a:stretch>
                  </pic:blipFill>
                  <pic:spPr>
                    <a:xfrm>
                      <a:off x="0" y="0"/>
                      <a:ext cx="2926080" cy="2574551"/>
                    </a:xfrm>
                    <a:prstGeom prst="rect"/>
                  </pic:spPr>
                </pic:pic>
              </a:graphicData>
            </a:graphic>
          </wp:inline>
        </w:drawing>
      </w:r>
    </w:p>
    <w:p>
      <w:pPr>
        <w:spacing w:after="120"/>
        <w:jc w:val="both"/>
      </w:pPr>
      <w:r>
        <w:rPr>
          <w:rFonts w:ascii="Times New Roman" w:hAnsi="Times New Roman"/>
          <w:b/>
          <w:sz w:val="16"/>
        </w:rPr>
        <w:t xml:space="preserve">Fig. 6. </w:t>
      </w:r>
      <w:r>
        <w:rPr>
          <w:rFonts w:ascii="Times New Roman" w:hAnsi="Times New Roman"/>
          <w:sz w:val="16"/>
        </w:rPr>
        <w:t>Normalized confusion matrix for 5-way 5-shot disease diagnosis using DINOv2 ProtoNet.</w:t>
      </w:r>
    </w:p>
    <w:p>
      <w:pPr>
        <w:spacing w:before="160" w:after="40"/>
        <w:jc w:val="left"/>
      </w:pPr>
      <w:r>
        <w:rPr>
          <w:rFonts w:ascii="Times New Roman" w:hAnsi="Times New Roman"/>
          <w:i/>
          <w:sz w:val="20"/>
        </w:rPr>
        <w:t>D. Comprehensive Latency and Edge Deployment Analysis</w:t>
      </w:r>
    </w:p>
    <w:p>
      <w:pPr>
        <w:spacing w:after="60" w:line="252" w:lineRule="auto"/>
        <w:ind w:firstLine="288"/>
        <w:jc w:val="both"/>
      </w:pPr>
      <w:r>
        <w:rPr>
          <w:rFonts w:ascii="Times New Roman" w:hAnsi="Times New Roman"/>
          <w:sz w:val="20"/>
        </w:rPr>
        <w:t>Table VI details the runtime latency of the end-to-end framework. Stage 1 YOLO detection executes in 2.80 ms, RoI cropping requires 0.12 ms, and Stage 2 DINOv2 feature extraction and distance computation takes 1.15 ms, resulting in a total latency of 3.95 ms per frame (253 FPS). This throughput comfortably supports real-time edge processing on solar-powered pond-side smart monitoring units.</w:t>
      </w:r>
    </w:p>
    <w:p>
      <w:pPr>
        <w:spacing w:before="160" w:after="40"/>
        <w:jc w:val="center"/>
      </w:pPr>
      <w:r>
        <w:rPr>
          <w:rFonts w:ascii="Times New Roman" w:hAnsi="Times New Roman"/>
          <w:b/>
          <w:sz w:val="16"/>
        </w:rPr>
        <w:t>TABLE VI</w:t>
        <w:br/>
      </w:r>
      <w:r>
        <w:rPr>
          <w:rFonts w:ascii="Times New Roman" w:hAnsi="Times New Roman"/>
          <w:sz w:val="16"/>
        </w:rPr>
        <w:t>END-TO-END LATENCY AND COMPUTATIONAL COMPLEXITY BREAKDOWN</w:t>
      </w:r>
    </w:p>
    <w:tbl>
      <w:tblPr>
        <w:jc w:val="center"/>
        <w:tblLayout w:type="fixed"/>
        <w:tblLook w:firstColumn="1" w:firstRow="1" w:lastColumn="0" w:lastRow="0" w:noHBand="0" w:noVBand="1" w:val="04A0"/>
        <w:tblW w:w="4751" w:type="dxa"/>
      </w:tblPr>
      <w:tblGrid>
        <w:gridCol w:w="2571"/>
        <w:gridCol w:w="2571"/>
        <w:gridCol w:w="2571"/>
        <w:gridCol w:w="2571"/>
      </w:tblGrid>
      <w:tr>
        <w:tc>
          <w:tcPr>
            <w:tcW w:w="194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Pipeline Module</w:t>
            </w:r>
          </w:p>
        </w:tc>
        <w:tc>
          <w:tcPr>
            <w:tcW w:w="864"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Parameters (M)</w:t>
            </w:r>
          </w:p>
        </w:tc>
        <w:tc>
          <w:tcPr>
            <w:tcW w:w="936"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Latency (ms)</w:t>
            </w:r>
          </w:p>
        </w:tc>
        <w:tc>
          <w:tcPr>
            <w:tcW w:w="1007" w:type="dxa"/>
            <w:tcMar>
              <w:top w:w="60" w:type="dxa"/>
              <w:bottom w:w="60" w:type="dxa"/>
              <w:left w:w="30" w:type="dxa"/>
              <w:right w:w="30" w:type="dxa"/>
            </w:tcMar>
            <w:tcBorders>
              <w:top w:val="single" w:sz="12" w:space="0" w:color="000000"/>
              <w:left w:val="none"/>
              <w:bottom w:val="single" w:sz="6" w:space="0" w:color="000000"/>
              <w:right w:val="none"/>
              <w:insideH w:val="none"/>
              <w:insideV w:val="none"/>
            </w:tcBorders>
          </w:tcPr>
          <w:p>
            <w:pPr>
              <w:jc w:val="center"/>
            </w:pPr>
            <w:r>
              <w:rPr>
                <w:rFonts w:ascii="Times New Roman" w:hAnsi="Times New Roman"/>
                <w:b/>
                <w:sz w:val="14"/>
              </w:rPr>
              <w:t>Throughput (FPS)</w:t>
            </w:r>
          </w:p>
        </w:tc>
      </w:tr>
      <w:tr>
        <w:tc>
          <w:tcPr>
            <w:tcW w:w="1944"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Stage 1: YOLO Detector</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2.6 M</w:t>
            </w:r>
          </w:p>
        </w:tc>
        <w:tc>
          <w:tcPr>
            <w:tcW w:w="936"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2.80 ms</w:t>
            </w:r>
          </w:p>
        </w:tc>
        <w:tc>
          <w:tcPr>
            <w:tcW w:w="1007"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357 FPS</w:t>
            </w:r>
          </w:p>
        </w:tc>
      </w:tr>
      <w:tr>
        <w:tc>
          <w:tcPr>
            <w:tcW w:w="1944"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Intermediary RoI Auto-Crop</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w:t>
            </w:r>
          </w:p>
        </w:tc>
        <w:tc>
          <w:tcPr>
            <w:tcW w:w="936"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0.12 ms</w:t>
            </w:r>
          </w:p>
        </w:tc>
        <w:tc>
          <w:tcPr>
            <w:tcW w:w="1007"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8,333 FPS</w:t>
            </w:r>
          </w:p>
        </w:tc>
      </w:tr>
      <w:tr>
        <w:tc>
          <w:tcPr>
            <w:tcW w:w="1944"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Stage 2: DINOv2 Feature Extractor</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22.1 M</w:t>
            </w:r>
          </w:p>
        </w:tc>
        <w:tc>
          <w:tcPr>
            <w:tcW w:w="936"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1.15 ms</w:t>
            </w:r>
          </w:p>
        </w:tc>
        <w:tc>
          <w:tcPr>
            <w:tcW w:w="1007"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865 FPS</w:t>
            </w:r>
          </w:p>
        </w:tc>
      </w:tr>
      <w:tr>
        <w:tc>
          <w:tcPr>
            <w:tcW w:w="1944" w:type="dxa"/>
            <w:tcMar>
              <w:top w:w="40" w:type="dxa"/>
              <w:bottom w:w="40" w:type="dxa"/>
              <w:left w:w="30" w:type="dxa"/>
              <w:right w:w="30" w:type="dxa"/>
            </w:tcMar>
            <w:tcBorders>
              <w:top w:val="none"/>
              <w:left w:val="none"/>
              <w:bottom w:val="none"/>
              <w:right w:val="none"/>
              <w:insideH w:val="none"/>
              <w:insideV w:val="none"/>
            </w:tcBorders>
          </w:tcPr>
          <w:p>
            <w:pPr>
              <w:jc w:val="left"/>
            </w:pPr>
            <w:r>
              <w:rPr>
                <w:rFonts w:ascii="Times New Roman" w:hAnsi="Times New Roman"/>
                <w:sz w:val="14"/>
              </w:rPr>
              <w:t>Stage 2: ProtoNet Distance Assignment</w:t>
            </w:r>
          </w:p>
        </w:tc>
        <w:tc>
          <w:tcPr>
            <w:tcW w:w="864"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w:t>
            </w:r>
          </w:p>
        </w:tc>
        <w:tc>
          <w:tcPr>
            <w:tcW w:w="936"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0.03 ms</w:t>
            </w:r>
          </w:p>
        </w:tc>
        <w:tc>
          <w:tcPr>
            <w:tcW w:w="1007" w:type="dxa"/>
            <w:tcMar>
              <w:top w:w="40" w:type="dxa"/>
              <w:bottom w:w="40" w:type="dxa"/>
              <w:left w:w="30" w:type="dxa"/>
              <w:right w:w="30" w:type="dxa"/>
            </w:tcMar>
            <w:tcBorders>
              <w:top w:val="none"/>
              <w:left w:val="none"/>
              <w:bottom w:val="none"/>
              <w:right w:val="none"/>
              <w:insideH w:val="none"/>
              <w:insideV w:val="none"/>
            </w:tcBorders>
          </w:tcPr>
          <w:p>
            <w:pPr>
              <w:jc w:val="center"/>
            </w:pPr>
            <w:r>
              <w:rPr>
                <w:rFonts w:ascii="Times New Roman" w:hAnsi="Times New Roman"/>
                <w:sz w:val="14"/>
              </w:rPr>
              <w:t>33,333 FPS</w:t>
            </w:r>
          </w:p>
        </w:tc>
      </w:tr>
      <w:tr>
        <w:tc>
          <w:tcPr>
            <w:tcW w:w="1944" w:type="dxa"/>
            <w:tcMar>
              <w:top w:w="40" w:type="dxa"/>
              <w:bottom w:w="40" w:type="dxa"/>
              <w:left w:w="30" w:type="dxa"/>
              <w:right w:w="30" w:type="dxa"/>
            </w:tcMar>
            <w:tcBorders>
              <w:top w:val="none"/>
              <w:left w:val="none"/>
              <w:bottom w:val="single" w:sz="12" w:space="0" w:color="000000"/>
              <w:right w:val="none"/>
              <w:insideH w:val="none"/>
              <w:insideV w:val="none"/>
            </w:tcBorders>
          </w:tcPr>
          <w:p>
            <w:pPr>
              <w:jc w:val="left"/>
            </w:pPr>
            <w:r>
              <w:rPr>
                <w:rFonts w:ascii="Times New Roman" w:hAnsi="Times New Roman"/>
                <w:sz w:val="14"/>
              </w:rPr>
              <w:t>End-to-End Complete Pipeline</w:t>
            </w:r>
          </w:p>
        </w:tc>
        <w:tc>
          <w:tcPr>
            <w:tcW w:w="864"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24.7 M</w:t>
            </w:r>
          </w:p>
        </w:tc>
        <w:tc>
          <w:tcPr>
            <w:tcW w:w="936"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3.95 ms</w:t>
            </w:r>
          </w:p>
        </w:tc>
        <w:tc>
          <w:tcPr>
            <w:tcW w:w="1007" w:type="dxa"/>
            <w:tcMar>
              <w:top w:w="40" w:type="dxa"/>
              <w:bottom w:w="40" w:type="dxa"/>
              <w:left w:w="30" w:type="dxa"/>
              <w:right w:w="30" w:type="dxa"/>
            </w:tcMar>
            <w:tcBorders>
              <w:top w:val="none"/>
              <w:left w:val="none"/>
              <w:bottom w:val="single" w:sz="12" w:space="0" w:color="000000"/>
              <w:right w:val="none"/>
              <w:insideH w:val="none"/>
              <w:insideV w:val="none"/>
            </w:tcBorders>
          </w:tcPr>
          <w:p>
            <w:pPr>
              <w:jc w:val="center"/>
            </w:pPr>
            <w:r>
              <w:rPr>
                <w:rFonts w:ascii="Times New Roman" w:hAnsi="Times New Roman"/>
                <w:sz w:val="14"/>
              </w:rPr>
              <w:t>253 FPS</w:t>
            </w:r>
          </w:p>
        </w:tc>
      </w:tr>
    </w:tbl>
    <w:p>
      <w:pPr>
        <w:spacing w:before="240" w:after="80"/>
        <w:jc w:val="center"/>
      </w:pPr>
      <w:r>
        <w:rPr>
          <w:rFonts w:ascii="Times New Roman" w:hAnsi="Times New Roman"/>
          <w:b/>
          <w:sz w:val="20"/>
        </w:rPr>
        <w:t>IV. CONCLUSION</w:t>
      </w:r>
    </w:p>
    <w:p>
      <w:pPr>
        <w:spacing w:after="60" w:line="252" w:lineRule="auto"/>
        <w:ind w:firstLine="288"/>
        <w:jc w:val="both"/>
      </w:pPr>
      <w:r>
        <w:rPr>
          <w:rFonts w:ascii="Times New Roman" w:hAnsi="Times New Roman"/>
          <w:sz w:val="20"/>
        </w:rPr>
        <w:t>This research presented an end-to-end robust vision framework that unifies multi-stage YOLO object detection with zero-annotation Few-Shot Learning for precision shrimp aquaculture. By decoupling universal localization from disease diagnosis, the framework simultaneously resolves the two greatest obstacles to operational deployment: Out-of-Distribution background false alarms and manual bounding-box annotation burdens. The Stage 1 background-null regularized detector achieved 99.26% mAP@50 and completely eliminated false alarms across 700 OOD background scenes, while TFLite FP16 quantization compressed model storage to 2.89 MB. In Stage 2, DINOv2-powered Prototypical Networks achieved 65.76% (5-shot) and 70.28% (10-shot) accuracy on emerging conditions without requiring a single bounding-box label or gradient retraining. Operating at 253 FPS on consumer hardware, the proposed framework provides a robust, scalable, and readily deployable artificial intelligence solution to safeguard global shrimp biosecurity. Future work will investigate INT8 integer quantization on ultra-low-power microcontrollers and extend visual monitoring to open-sea mariculture cages.</w:t>
      </w:r>
    </w:p>
    <w:p>
      <w:pPr>
        <w:spacing w:before="240" w:after="80"/>
        <w:jc w:val="center"/>
      </w:pPr>
      <w:r>
        <w:rPr>
          <w:rFonts w:ascii="Times New Roman" w:hAnsi="Times New Roman"/>
          <w:b/>
          <w:sz w:val="20"/>
        </w:rPr>
        <w:t>REFERENCES</w:t>
      </w:r>
    </w:p>
    <w:p>
      <w:pPr>
        <w:spacing w:after="40" w:line="240" w:lineRule="auto"/>
        <w:jc w:val="both"/>
      </w:pPr>
      <w:r>
        <w:rPr>
          <w:rFonts w:ascii="Times New Roman" w:hAnsi="Times New Roman"/>
          <w:sz w:val="16"/>
        </w:rPr>
        <w:t>[1] Food and Agriculture Organization of the United Nations (FAO), "The State of World Fisheries and Aquaculture 2022: Towards Blue Transformation," Rome: FAO, 2022.</w:t>
      </w:r>
    </w:p>
    <w:p>
      <w:pPr>
        <w:spacing w:after="40" w:line="240" w:lineRule="auto"/>
        <w:jc w:val="both"/>
      </w:pPr>
      <w:r>
        <w:rPr>
          <w:rFonts w:ascii="Times New Roman" w:hAnsi="Times New Roman"/>
          <w:sz w:val="16"/>
        </w:rPr>
        <w:t>[2] D. V. Lightner, "Status of shrimp diseases and advances in shrimp health management," in The Rising Tide, Proceedings of the Special Session on Sustainable Shrimp Farming, World Aquaculture Society, 2011, pp. 121–134.</w:t>
      </w:r>
    </w:p>
    <w:p>
      <w:pPr>
        <w:spacing w:after="40" w:line="240" w:lineRule="auto"/>
        <w:jc w:val="both"/>
      </w:pPr>
      <w:r>
        <w:rPr>
          <w:rFonts w:ascii="Times New Roman" w:hAnsi="Times New Roman"/>
          <w:sz w:val="16"/>
        </w:rPr>
        <w:t>[3] G. D. Stentiford et al., "Disease will limit the future of global aquaculture," Journal of Fish Diseases, vol. 35, no. 12, pp. 871–888, 2012.</w:t>
      </w:r>
    </w:p>
    <w:p>
      <w:pPr>
        <w:spacing w:after="40" w:line="240" w:lineRule="auto"/>
        <w:jc w:val="both"/>
      </w:pPr>
      <w:r>
        <w:rPr>
          <w:rFonts w:ascii="Times New Roman" w:hAnsi="Times New Roman"/>
          <w:sz w:val="16"/>
        </w:rPr>
        <w:t>[4] S. Shete, B. P. Patil, and S. Panda, "Deep learning-based disease detection in aquaculture: A comprehensive review," Aquacultural Engineering, vol. 91, p. 102120, 2020.</w:t>
      </w:r>
    </w:p>
    <w:p>
      <w:pPr>
        <w:spacing w:after="40" w:line="240" w:lineRule="auto"/>
        <w:jc w:val="both"/>
      </w:pPr>
      <w:r>
        <w:rPr>
          <w:rFonts w:ascii="Times New Roman" w:hAnsi="Times New Roman"/>
          <w:sz w:val="16"/>
        </w:rPr>
        <w:t>[5] L. Zhang, Z. Wang, and H. Sun, "Automated health monitoring and behavioral analysis of penaeid shrimp using computer vision: A review," Computers and Electronics in Agriculture, vol. 187, p. 106289, 2021.</w:t>
      </w:r>
    </w:p>
    <w:p>
      <w:pPr>
        <w:spacing w:after="40" w:line="240" w:lineRule="auto"/>
        <w:jc w:val="both"/>
      </w:pPr>
      <w:r>
        <w:rPr>
          <w:rFonts w:ascii="Times New Roman" w:hAnsi="Times New Roman"/>
          <w:sz w:val="16"/>
        </w:rPr>
        <w:t>[6] J. Redmon, S. Divvala, R. Girshick, and A. Farhadi, "You only look once: Unified, real-time object detection," in Proc. IEEE Conf. Comput. Vis. Pattern Recognit. (CVPR), 2016, pp. 779–788.</w:t>
      </w:r>
    </w:p>
    <w:p>
      <w:pPr>
        <w:spacing w:after="40" w:line="240" w:lineRule="auto"/>
        <w:jc w:val="both"/>
      </w:pPr>
      <w:r>
        <w:rPr>
          <w:rFonts w:ascii="Times New Roman" w:hAnsi="Times New Roman"/>
          <w:sz w:val="16"/>
        </w:rPr>
        <w:t>[7] G. Jocher, A. Chaurasia, and J. Qiu, "Ultralytics YOLO11," 2024. [Online]. Available: https://github.com/ultralytics/ultralytics</w:t>
      </w:r>
    </w:p>
    <w:p>
      <w:pPr>
        <w:spacing w:after="40" w:line="240" w:lineRule="auto"/>
        <w:jc w:val="both"/>
      </w:pPr>
      <w:r>
        <w:rPr>
          <w:rFonts w:ascii="Times New Roman" w:hAnsi="Times New Roman"/>
          <w:sz w:val="16"/>
        </w:rPr>
        <w:t>[8] S. Vaze, K. Han, A. Vedaldi, and A. Zisserman, "Open-set recognition: A good closed-set classifier is all you need," in Proc. Int. Conf. Learn. Represent. (ICLR), 2022.</w:t>
      </w:r>
    </w:p>
    <w:p>
      <w:pPr>
        <w:spacing w:after="40" w:line="240" w:lineRule="auto"/>
        <w:jc w:val="both"/>
      </w:pPr>
      <w:r>
        <w:rPr>
          <w:rFonts w:ascii="Times New Roman" w:hAnsi="Times New Roman"/>
          <w:sz w:val="16"/>
        </w:rPr>
        <w:t>[9] B. Kang, Z. Liu, X. Wang, F. Yu, J. Feng, and T. Darrell, "Few-shot object detection via feature reweighting," in Proc. IEEE/CVF Int. Conf. Comput. Vis. (ICCV), 2019, pp. 8420–8429.</w:t>
      </w:r>
    </w:p>
    <w:p>
      <w:pPr>
        <w:spacing w:after="40" w:line="240" w:lineRule="auto"/>
        <w:jc w:val="both"/>
      </w:pPr>
      <w:r>
        <w:rPr>
          <w:rFonts w:ascii="Times New Roman" w:hAnsi="Times New Roman"/>
          <w:sz w:val="16"/>
        </w:rPr>
        <w:t>[10] X. Wang, T. E. Huang, T. Darrell, J. E. Gonzalez, and F. Yu, "Frustratingly simple few-shot object detection," in Proc. Int. Conf. Mach. Learn. (ICML), 2020, pp. 9919–9928.</w:t>
      </w:r>
    </w:p>
    <w:p>
      <w:pPr>
        <w:spacing w:after="40" w:line="240" w:lineRule="auto"/>
        <w:jc w:val="both"/>
      </w:pPr>
      <w:r>
        <w:rPr>
          <w:rFonts w:ascii="Times New Roman" w:hAnsi="Times New Roman"/>
          <w:sz w:val="16"/>
        </w:rPr>
        <w:t>[11] J. R. Mathiassen, J. Misimi, M. Bondø, E. Veliyulin, and S. O. Østvik, "Computer vision in the aquaculture and seafood processing industry," in Computer Vision Technology for Food Quality Evaluation, Academic Press, 2011, pp. 493–529.</w:t>
      </w:r>
    </w:p>
    <w:p>
      <w:pPr>
        <w:spacing w:after="40" w:line="240" w:lineRule="auto"/>
        <w:jc w:val="both"/>
      </w:pPr>
      <w:r>
        <w:rPr>
          <w:rFonts w:ascii="Times New Roman" w:hAnsi="Times New Roman"/>
          <w:sz w:val="16"/>
        </w:rPr>
        <w:t>[12] B. Zion, "The use of computer vision technologies in aquaculture--a review," Computers and Electronics in Agriculture, vol. 88, pp. 125–132, 2012.</w:t>
      </w:r>
    </w:p>
    <w:p>
      <w:pPr>
        <w:spacing w:after="40" w:line="240" w:lineRule="auto"/>
        <w:jc w:val="both"/>
      </w:pPr>
      <w:r>
        <w:rPr>
          <w:rFonts w:ascii="Times New Roman" w:hAnsi="Times New Roman"/>
          <w:sz w:val="16"/>
        </w:rPr>
        <w:t>[13] M. Oquab et al., "DINOv2: Learning robust visual features without supervision," arXiv preprint arXiv:2304.07193, 2023.</w:t>
      </w:r>
    </w:p>
    <w:p>
      <w:pPr>
        <w:spacing w:after="40" w:line="240" w:lineRule="auto"/>
        <w:jc w:val="both"/>
      </w:pPr>
      <w:r>
        <w:rPr>
          <w:rFonts w:ascii="Times New Roman" w:hAnsi="Times New Roman"/>
          <w:sz w:val="16"/>
        </w:rPr>
        <w:t>[14] Z. Liu, H. Mao, C. Y. Wu, C. Feichtenhofer, T. Darrell, and S. Xie, "A convnet for the 2020s," in Proc. IEEE/CVF Conf. Comput. Vis. Pattern Recognit. (CVPR), 2022, pp. 11976–11986.</w:t>
      </w:r>
    </w:p>
    <w:p>
      <w:pPr>
        <w:spacing w:after="40" w:line="240" w:lineRule="auto"/>
        <w:jc w:val="both"/>
      </w:pPr>
      <w:r>
        <w:rPr>
          <w:rFonts w:ascii="Times New Roman" w:hAnsi="Times New Roman"/>
          <w:sz w:val="16"/>
        </w:rPr>
        <w:t>[15] K. He, X. Zhang, S. Ren, and J. Sun, "Deep residual learning for image recognition," in Proc. IEEE Conf. Comput. Vis. Pattern Recognit. (CVPR), 2016, pp. 770–778.</w:t>
      </w:r>
    </w:p>
    <w:p>
      <w:pPr>
        <w:spacing w:after="40" w:line="240" w:lineRule="auto"/>
        <w:jc w:val="both"/>
      </w:pPr>
      <w:r>
        <w:rPr>
          <w:rFonts w:ascii="Times New Roman" w:hAnsi="Times New Roman"/>
          <w:sz w:val="16"/>
        </w:rPr>
        <w:t>[16] Y. Wang, Q. Yao, J. T. Kwok, and L. M. Ni, "Generalizing from a few examples: A survey on few-shot learning," ACM Comput. Surv., vol. 53, no. 3, pp. 1–34, 2020.</w:t>
      </w:r>
    </w:p>
    <w:p>
      <w:pPr>
        <w:spacing w:after="40" w:line="240" w:lineRule="auto"/>
        <w:jc w:val="both"/>
      </w:pPr>
      <w:r>
        <w:rPr>
          <w:rFonts w:ascii="Times New Roman" w:hAnsi="Times New Roman"/>
          <w:sz w:val="16"/>
        </w:rPr>
        <w:t>[17] C. Finn, P. Abbeel, and S. Levine, "Model-agnostic meta-learning for fast adaptation of deep networks," in Proc. Int. Conf. Mach. Learn. (ICML), 2017, pp. 1126–1135.</w:t>
      </w:r>
    </w:p>
    <w:p>
      <w:pPr>
        <w:spacing w:after="40" w:line="240" w:lineRule="auto"/>
        <w:jc w:val="both"/>
      </w:pPr>
      <w:r>
        <w:rPr>
          <w:rFonts w:ascii="Times New Roman" w:hAnsi="Times New Roman"/>
          <w:sz w:val="16"/>
        </w:rPr>
        <w:t>[18] G. Koch, R. Zemel, and R. Salakhutdinov, "Siamese neural networks for one-shot image recognition," in ICML Deep Learning Workshop, vol. 2, 2015.</w:t>
      </w:r>
    </w:p>
    <w:p>
      <w:pPr>
        <w:spacing w:after="40" w:line="240" w:lineRule="auto"/>
        <w:jc w:val="both"/>
      </w:pPr>
      <w:r>
        <w:rPr>
          <w:rFonts w:ascii="Times New Roman" w:hAnsi="Times New Roman"/>
          <w:sz w:val="16"/>
        </w:rPr>
        <w:t>[19] O. Vinyals, C. Blundell, T. Lillicrap, K. Kavukcuoglu, and D. Wierstra, "Matching networks for one shot learning," Adv. Neural Inf. Process. Syst. (NeurIPS), vol. 29, 2016.</w:t>
      </w:r>
    </w:p>
    <w:p>
      <w:pPr>
        <w:spacing w:after="40" w:line="240" w:lineRule="auto"/>
        <w:jc w:val="both"/>
      </w:pPr>
      <w:r>
        <w:rPr>
          <w:rFonts w:ascii="Times New Roman" w:hAnsi="Times New Roman"/>
          <w:sz w:val="16"/>
        </w:rPr>
        <w:t>[20] J. Snell, K. Swersky, and R. Zemel, "Prototypical networks for few-shot learning," Adv. Neural Inf. Process. Syst. (NeurIPS), vol. 30, 2017.</w:t>
      </w:r>
    </w:p>
    <w:p>
      <w:pPr>
        <w:spacing w:after="40" w:line="240" w:lineRule="auto"/>
        <w:jc w:val="both"/>
      </w:pPr>
      <w:r>
        <w:rPr>
          <w:rFonts w:ascii="Times New Roman" w:hAnsi="Times New Roman"/>
          <w:sz w:val="16"/>
        </w:rPr>
        <w:t>[21] M. Caron et al., "Emerging properties in self-supervised vision transformers," in Proc. IEEE/CVF Int. Conf. Comput. Vis. (ICCV), 2021, pp. 9650–9660.</w:t>
      </w:r>
    </w:p>
    <w:p>
      <w:pPr>
        <w:spacing w:after="40" w:line="240" w:lineRule="auto"/>
        <w:jc w:val="both"/>
      </w:pPr>
      <w:r>
        <w:rPr>
          <w:rFonts w:ascii="Times New Roman" w:hAnsi="Times New Roman"/>
          <w:sz w:val="16"/>
        </w:rPr>
        <w:t>[22] F. Chollet, "Xception: Deep learning with depthwise separable convolutions," in Proc. IEEE Conf. Comput. Vis. Pattern Recognit. (CVPR), 2017, pp. 1251–1258.</w:t>
      </w:r>
    </w:p>
    <w:p>
      <w:pPr>
        <w:spacing w:after="40" w:line="240" w:lineRule="auto"/>
        <w:jc w:val="both"/>
      </w:pPr>
      <w:r>
        <w:rPr>
          <w:rFonts w:ascii="Times New Roman" w:hAnsi="Times New Roman"/>
          <w:sz w:val="16"/>
        </w:rPr>
        <w:t>[23] R. R. Selvaraju et al., "Grad-CAM: Visual explanations from deep networks via gradient-based localization," in Proc. IEEE Int. Conf. Comput. Vis. (ICCV), 2017, pp. 618–626.</w:t>
      </w:r>
    </w:p>
    <w:p>
      <w:pPr>
        <w:spacing w:after="40" w:line="240" w:lineRule="auto"/>
        <w:jc w:val="both"/>
      </w:pPr>
      <w:r>
        <w:rPr>
          <w:rFonts w:ascii="Times New Roman" w:hAnsi="Times New Roman"/>
          <w:sz w:val="16"/>
        </w:rPr>
        <w:t>[24] M. B. Muhammad and M. Yeasin, "Eigen-CAM: Class activation map using principal components," in Proc. Int. Jt. Conf. Neural Netw. (IJCNN), 2020, pp. 1–7.</w:t>
      </w:r>
    </w:p>
    <w:p>
      <w:pPr>
        <w:spacing w:after="40" w:line="240" w:lineRule="auto"/>
        <w:jc w:val="both"/>
      </w:pPr>
      <w:r>
        <w:rPr>
          <w:rFonts w:ascii="Times New Roman" w:hAnsi="Times New Roman"/>
          <w:sz w:val="16"/>
        </w:rPr>
        <w:t>[25] T. Y. Lin et al., "Focal loss for dense object detection," in Proc. IEEE Int. Conf. Comput. Vis. (ICCV), 2017, pp. 2980–2988.</w:t>
      </w:r>
    </w:p>
    <w:p>
      <w:pPr>
        <w:spacing w:after="40" w:line="240" w:lineRule="auto"/>
        <w:jc w:val="both"/>
      </w:pPr>
      <w:r>
        <w:rPr>
          <w:rFonts w:ascii="Times New Roman" w:hAnsi="Times New Roman"/>
          <w:sz w:val="16"/>
        </w:rPr>
        <w:t>[26] A. Bochkovskiy, C. Y. Wang, and H. Y. M. Liao, "YOLOv4: Optimal speed and accuracy of object detection," arXiv preprint arXiv:2004.10934, 2020.</w:t>
      </w:r>
    </w:p>
    <w:p>
      <w:pPr>
        <w:spacing w:after="40" w:line="240" w:lineRule="auto"/>
        <w:jc w:val="both"/>
      </w:pPr>
      <w:r>
        <w:rPr>
          <w:rFonts w:ascii="Times New Roman" w:hAnsi="Times New Roman"/>
          <w:sz w:val="16"/>
        </w:rPr>
        <w:t>[27] C. Y. Wang, A. Bochkovskiy, and H. Y. M. Liao, "YOLOv7: Trainable bag-of-freebies sets new state-of-the-art for real-time object detectors," in Proc. IEEE/CVF Conf. Comput. Vis. Pattern Recognit. (CVPR), 2023, pp. 7464–7475.</w:t>
      </w:r>
    </w:p>
    <w:p>
      <w:pPr>
        <w:spacing w:after="40" w:line="240" w:lineRule="auto"/>
        <w:jc w:val="both"/>
      </w:pPr>
      <w:r>
        <w:rPr>
          <w:rFonts w:ascii="Times New Roman" w:hAnsi="Times New Roman"/>
          <w:sz w:val="16"/>
        </w:rPr>
        <w:t>[28] P. Wang et al., "YOLOv10: Real-time end-to-end object detection," arXiv preprint arXiv:2405.14458, 2024.</w:t>
      </w:r>
    </w:p>
    <w:p>
      <w:pPr>
        <w:spacing w:after="40" w:line="240" w:lineRule="auto"/>
        <w:jc w:val="both"/>
      </w:pPr>
      <w:r>
        <w:rPr>
          <w:rFonts w:ascii="Times New Roman" w:hAnsi="Times New Roman"/>
          <w:sz w:val="16"/>
        </w:rPr>
        <w:t>[29] A. Radford et al., "Learning transferable visual models from natural language supervision," in Proc. Int. Conf. Mach. Learn. (ICML), 2021, pp. 8748–8763.</w:t>
      </w:r>
    </w:p>
    <w:p>
      <w:pPr>
        <w:spacing w:after="40" w:line="240" w:lineRule="auto"/>
        <w:jc w:val="both"/>
      </w:pPr>
      <w:r>
        <w:rPr>
          <w:rFonts w:ascii="Times New Roman" w:hAnsi="Times New Roman"/>
          <w:sz w:val="16"/>
        </w:rPr>
        <w:t>[30] J. Deng et al., "ImageNet: A large-scale hierarchical image database," in Proc. IEEE Conf. Comput. Vis. Pattern Recognit. (CVPR), 2009, pp. 248–255.</w:t>
      </w:r>
    </w:p>
    <w:sectPr>
      <w:type w:val="continuous"/>
      <w:pgSz w:h="16838" w:w="11906" w:orient="portrait"/>
      <w:pgMar w:bottom="158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ahoma">
    <w:embedRegular w:fontKey="{00000000-0000-0000-0000-000000000000}" r:id="rId3" w:subsetted="0"/>
    <w:embedBold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0" w:firstLine="0"/>
      </w:pPr>
      <w:rPr/>
    </w:lvl>
    <w:lvl w:ilvl="1">
      <w:start w:val="1"/>
      <w:numFmt w:val="decimal"/>
      <w:lvlText w:val="%1.%2)"/>
      <w:lvlJc w:val="left"/>
      <w:pPr>
        <w:ind w:left="936" w:hanging="720"/>
      </w:pPr>
      <w:rPr/>
    </w:lvl>
    <w:lvl w:ilvl="2">
      <w:start w:val="1"/>
      <w:numFmt w:val="decimal"/>
      <w:lvlText w:val="%1.%2)%3."/>
      <w:lvlJc w:val="left"/>
      <w:pPr>
        <w:ind w:left="936" w:hanging="72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288" w:hanging="288"/>
      </w:pPr>
      <w:rPr>
        <w:rFonts w:ascii="Times New Roman" w:cs="Times New Roman" w:eastAsia="Times New Roman" w:hAnsi="Times New Roman"/>
        <w:b w:val="0"/>
        <w:i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decimal"/>
      <w:lvlText w:val="[%1]"/>
      <w:lvlJc w:val="left"/>
      <w:pPr>
        <w:ind w:left="1170" w:hanging="360"/>
      </w:pPr>
      <w:rPr>
        <w:i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lang w:eastAsia="zh-CN" w:val="en-US"/>
    </w:rPr>
  </w:style>
  <w:style w:type="paragraph" w:styleId="Heading1">
    <w:name w:val="heading 1"/>
    <w:basedOn w:val="Normal"/>
    <w:next w:val="Normal"/>
    <w:qFormat w:val="1"/>
    <w:rsid w:val="00081EBE"/>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qFormat w:val="1"/>
    <w:rsid w:val="0027227B"/>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F06A72"/>
    <w:pPr>
      <w:keepNext w:val="1"/>
      <w:numPr>
        <w:ilvl w:val="2"/>
        <w:numId w:val="8"/>
      </w:numPr>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JASEITAuthorName" w:customStyle="1">
    <w:name w:val="IJASEIT Author Name"/>
    <w:basedOn w:val="Normal"/>
    <w:next w:val="Normal"/>
    <w:rsid w:val="009E7667"/>
    <w:pPr>
      <w:adjustRightInd w:val="0"/>
      <w:snapToGrid w:val="0"/>
      <w:spacing w:after="120" w:before="120"/>
      <w:jc w:val="center"/>
    </w:pPr>
    <w:rPr>
      <w:rFonts w:eastAsia="Times New Roman"/>
      <w:lang w:eastAsia="en-GB" w:val="en-GB"/>
    </w:rPr>
  </w:style>
  <w:style w:type="paragraph" w:styleId="IJASEITAuthorAffiliation" w:customStyle="1">
    <w:name w:val="IJASEIT Author Affiliation"/>
    <w:basedOn w:val="Normal"/>
    <w:next w:val="Normal"/>
    <w:rsid w:val="00C61E47"/>
    <w:pPr>
      <w:spacing w:after="60"/>
      <w:jc w:val="center"/>
    </w:pPr>
    <w:rPr>
      <w:rFonts w:eastAsia="Times New Roman"/>
      <w:i w:val="1"/>
      <w:sz w:val="18"/>
      <w:lang w:eastAsia="en-GB" w:val="en-GB"/>
    </w:rPr>
  </w:style>
  <w:style w:type="paragraph" w:styleId="IJASEITHeading2" w:customStyle="1">
    <w:name w:val="IJASEIT Heading 2"/>
    <w:basedOn w:val="Normal"/>
    <w:next w:val="IJASEITParagraph"/>
    <w:rsid w:val="00273D2C"/>
    <w:pPr>
      <w:numPr>
        <w:numId w:val="3"/>
      </w:numPr>
      <w:adjustRightInd w:val="0"/>
      <w:snapToGrid w:val="0"/>
      <w:spacing w:after="60" w:before="150"/>
      <w:ind w:left="289" w:hanging="289"/>
    </w:pPr>
    <w:rPr>
      <w:i w:val="1"/>
      <w:sz w:val="20"/>
    </w:rPr>
  </w:style>
  <w:style w:type="paragraph" w:styleId="IJASEITNomenclature" w:customStyle="1">
    <w:name w:val="IJASEIT Nomenclature"/>
    <w:basedOn w:val="Normal"/>
    <w:next w:val="IJASEITParagraph"/>
    <w:qFormat w:val="1"/>
    <w:rsid w:val="00E65BDF"/>
    <w:pPr>
      <w:tabs>
        <w:tab w:val="left" w:pos="567"/>
        <w:tab w:val="left" w:pos="3969"/>
      </w:tabs>
      <w:jc w:val="both"/>
    </w:pPr>
    <w:rPr>
      <w:sz w:val="20"/>
      <w:szCs w:val="20"/>
    </w:rPr>
  </w:style>
  <w:style w:type="paragraph" w:styleId="IJASEITAbstractHeading" w:customStyle="1">
    <w:name w:val="IJASEIT Abstract Heading"/>
    <w:basedOn w:val="IJASEITAbtract"/>
    <w:next w:val="IJASEITAbtract"/>
    <w:link w:val="IJASEITAbstractHeadingChar"/>
    <w:rsid w:val="00D41274"/>
    <w:rPr>
      <w:i w:val="1"/>
    </w:rPr>
  </w:style>
  <w:style w:type="character" w:styleId="IJASEITAbstractHeadingChar" w:customStyle="1">
    <w:name w:val="IJASEIT Abstract Heading Char"/>
    <w:link w:val="IJASEITAbstractHeading"/>
    <w:rsid w:val="00D41274"/>
    <w:rPr>
      <w:rFonts w:eastAsia="SimSun"/>
      <w:b w:val="1"/>
      <w:i w:val="1"/>
      <w:sz w:val="18"/>
      <w:szCs w:val="24"/>
      <w:lang w:bidi="ar-SA" w:eastAsia="en-GB" w:val="en-GB"/>
    </w:rPr>
  </w:style>
  <w:style w:type="paragraph" w:styleId="IJASEITAbtract" w:customStyle="1">
    <w:name w:val="IJASEIT Abtract"/>
    <w:basedOn w:val="Normal"/>
    <w:next w:val="Normal"/>
    <w:link w:val="IJASEITAbtractChar"/>
    <w:rsid w:val="00D41274"/>
    <w:pPr>
      <w:adjustRightInd w:val="0"/>
      <w:snapToGrid w:val="0"/>
      <w:jc w:val="both"/>
    </w:pPr>
    <w:rPr>
      <w:b w:val="1"/>
      <w:sz w:val="18"/>
      <w:lang w:eastAsia="en-GB" w:val="en-GB"/>
    </w:rPr>
  </w:style>
  <w:style w:type="character" w:styleId="IJASEITAbtractChar" w:customStyle="1">
    <w:name w:val="IJASEIT Abtract Char"/>
    <w:link w:val="IJASEITAbtract"/>
    <w:rsid w:val="00D41274"/>
    <w:rPr>
      <w:rFonts w:eastAsia="SimSun"/>
      <w:b w:val="1"/>
      <w:sz w:val="18"/>
      <w:szCs w:val="24"/>
      <w:lang w:bidi="ar-SA" w:eastAsia="en-GB" w:val="en-GB"/>
    </w:rPr>
  </w:style>
  <w:style w:type="paragraph" w:styleId="IJASEITParagraph" w:customStyle="1">
    <w:name w:val="IJASEIT Paragraph"/>
    <w:basedOn w:val="Normal"/>
    <w:link w:val="IJASEITParagraphChar"/>
    <w:rsid w:val="004A6605"/>
    <w:pPr>
      <w:adjustRightInd w:val="0"/>
      <w:snapToGrid w:val="0"/>
      <w:ind w:firstLine="216"/>
      <w:jc w:val="both"/>
    </w:pPr>
    <w:rPr>
      <w:sz w:val="20"/>
    </w:rPr>
  </w:style>
  <w:style w:type="paragraph" w:styleId="IJASEITHeading1" w:customStyle="1">
    <w:name w:val="IJASEIT Heading 1"/>
    <w:basedOn w:val="Normal"/>
    <w:next w:val="IJASEITParagraph"/>
    <w:rsid w:val="00F5647F"/>
    <w:pPr>
      <w:numPr>
        <w:numId w:val="7"/>
      </w:numPr>
      <w:adjustRightInd w:val="0"/>
      <w:snapToGrid w:val="0"/>
      <w:spacing w:after="80" w:before="240"/>
      <w:ind w:left="289" w:hanging="289"/>
      <w:jc w:val="center"/>
    </w:pPr>
    <w:rPr>
      <w:smallCaps w:val="1"/>
      <w:sz w:val="20"/>
    </w:rPr>
  </w:style>
  <w:style w:type="table" w:styleId="TableGrid">
    <w:name w:val="Table Grid"/>
    <w:basedOn w:val="TableNormal"/>
    <w:rsid w:val="00A03E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JASEITTableCell" w:customStyle="1">
    <w:name w:val="IJASEIT Table Cell"/>
    <w:basedOn w:val="IJASEITParagraph"/>
    <w:rsid w:val="00331F84"/>
    <w:pPr>
      <w:ind w:firstLine="0"/>
      <w:jc w:val="left"/>
    </w:pPr>
    <w:rPr>
      <w:sz w:val="18"/>
    </w:rPr>
  </w:style>
  <w:style w:type="paragraph" w:styleId="IJASEITTitle" w:customStyle="1">
    <w:name w:val="IJASEIT Title"/>
    <w:basedOn w:val="Normal"/>
    <w:next w:val="IJASEITAuthorName"/>
    <w:rsid w:val="009E7667"/>
    <w:pPr>
      <w:adjustRightInd w:val="0"/>
      <w:snapToGrid w:val="0"/>
      <w:spacing w:before="2560"/>
      <w:jc w:val="center"/>
    </w:pPr>
    <w:rPr>
      <w:sz w:val="36"/>
    </w:rPr>
  </w:style>
  <w:style w:type="paragraph" w:styleId="IJASEITHeading3" w:customStyle="1">
    <w:name w:val="IJASEIT Heading 3"/>
    <w:basedOn w:val="Normal"/>
    <w:next w:val="IJASEITParagraph"/>
    <w:link w:val="IJASEITHeading3Char"/>
    <w:rsid w:val="00321304"/>
    <w:pPr>
      <w:numPr>
        <w:numId w:val="2"/>
      </w:numPr>
      <w:adjustRightInd w:val="0"/>
      <w:snapToGrid w:val="0"/>
      <w:spacing w:after="60" w:before="120"/>
      <w:ind w:firstLine="216"/>
      <w:jc w:val="both"/>
    </w:pPr>
    <w:rPr>
      <w:i w:val="1"/>
      <w:sz w:val="20"/>
    </w:rPr>
  </w:style>
  <w:style w:type="paragraph" w:styleId="IJASEITTableCaption" w:customStyle="1">
    <w:name w:val="IJASEIT Table Caption"/>
    <w:basedOn w:val="Normal"/>
    <w:next w:val="IJASEIT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JASEITParagraphChar" w:customStyle="1">
    <w:name w:val="IJASEIT Paragraph Char"/>
    <w:link w:val="IJASEITParagraph"/>
    <w:rsid w:val="004A6605"/>
    <w:rPr>
      <w:rFonts w:eastAsia="SimSun"/>
      <w:sz w:val="24"/>
      <w:szCs w:val="24"/>
      <w:lang w:bidi="ar-SA" w:eastAsia="zh-CN" w:val="en-AU"/>
    </w:rPr>
  </w:style>
  <w:style w:type="numbering" w:styleId="IEEEBullet1" w:customStyle="1">
    <w:name w:val="IEEE Bullet 1"/>
    <w:basedOn w:val="NoList"/>
    <w:rsid w:val="00955B59"/>
    <w:pPr>
      <w:numPr>
        <w:numId w:val="5"/>
      </w:numPr>
    </w:pPr>
  </w:style>
  <w:style w:type="paragraph" w:styleId="IJASEITFigureCaptionSingle-Line" w:customStyle="1">
    <w:name w:val="IJASEIT Figure Caption Single-Line"/>
    <w:basedOn w:val="IJASEITTitle"/>
    <w:next w:val="IJASEITParagraph"/>
    <w:rsid w:val="00B85CEA"/>
    <w:pPr>
      <w:spacing w:before="0"/>
    </w:pPr>
    <w:rPr>
      <w:sz w:val="16"/>
    </w:rPr>
  </w:style>
  <w:style w:type="character" w:styleId="IJASEITHeading3Char" w:customStyle="1">
    <w:name w:val="IJASEIT Heading 3 Char"/>
    <w:link w:val="IJASEITHeading3"/>
    <w:rsid w:val="00321304"/>
    <w:rPr>
      <w:i w:val="1"/>
      <w:szCs w:val="24"/>
      <w:lang w:eastAsia="zh-CN" w:val="en-US"/>
    </w:rPr>
  </w:style>
  <w:style w:type="paragraph" w:styleId="IJASEITFigure" w:customStyle="1">
    <w:name w:val="IJASEIT Figure"/>
    <w:basedOn w:val="Normal"/>
    <w:next w:val="IJASEITFigureCaptionSingle-Line"/>
    <w:rsid w:val="00D36B52"/>
    <w:pPr>
      <w:jc w:val="center"/>
    </w:pPr>
  </w:style>
  <w:style w:type="paragraph" w:styleId="IJASEITReferenceItem" w:customStyle="1">
    <w:name w:val="IJASEIT Reference Item"/>
    <w:basedOn w:val="Normal"/>
    <w:rsid w:val="00CD4F3F"/>
    <w:pPr>
      <w:numPr>
        <w:numId w:val="8"/>
      </w:numPr>
      <w:adjustRightInd w:val="0"/>
      <w:snapToGrid w:val="0"/>
      <w:jc w:val="both"/>
    </w:pPr>
    <w:rPr>
      <w:sz w:val="16"/>
    </w:rPr>
  </w:style>
  <w:style w:type="paragraph" w:styleId="IJASEITFigureCaptionMulti-Lines" w:customStyle="1">
    <w:name w:val="IJASEIT Figure Caption Multi-Lines"/>
    <w:basedOn w:val="IJASEITFigureCaptionSingle-Line"/>
    <w:next w:val="IJASEITParagraph"/>
    <w:rsid w:val="00B85CEA"/>
    <w:pPr>
      <w:jc w:val="both"/>
    </w:pPr>
  </w:style>
  <w:style w:type="paragraph" w:styleId="IJASEITTableHeaderCentered" w:customStyle="1">
    <w:name w:val="IJASEIT Table Header Centered"/>
    <w:basedOn w:val="IJASEITTableCell"/>
    <w:rsid w:val="00D36B52"/>
    <w:pPr>
      <w:jc w:val="center"/>
    </w:pPr>
    <w:rPr>
      <w:b w:val="1"/>
      <w:bCs w:val="1"/>
    </w:rPr>
  </w:style>
  <w:style w:type="paragraph" w:styleId="IJASEITTableHeaderLeft-Justified" w:customStyle="1">
    <w:name w:val="IJASEIT Table Header Left-Justified"/>
    <w:basedOn w:val="IJASEITTableCell"/>
    <w:rsid w:val="00D36B52"/>
    <w:rPr>
      <w:b w:val="1"/>
      <w:bCs w:val="1"/>
    </w:rPr>
  </w:style>
  <w:style w:type="character" w:styleId="Hyperlink">
    <w:name w:val="Hyperlink"/>
    <w:uiPriority w:val="99"/>
    <w:unhideWhenUsed w:val="1"/>
    <w:rsid w:val="00F5647F"/>
    <w:rPr>
      <w:color w:val="0000ff"/>
      <w:u w:val="single"/>
    </w:rPr>
  </w:style>
  <w:style w:type="paragraph" w:styleId="EndnoteText">
    <w:name w:val="endnote text"/>
    <w:basedOn w:val="Normal"/>
    <w:link w:val="EndnoteTextChar"/>
    <w:uiPriority w:val="99"/>
    <w:semiHidden w:val="1"/>
    <w:unhideWhenUsed w:val="1"/>
    <w:rsid w:val="006D50F1"/>
    <w:rPr>
      <w:sz w:val="20"/>
      <w:szCs w:val="20"/>
    </w:rPr>
  </w:style>
  <w:style w:type="character" w:styleId="EndnoteTextChar" w:customStyle="1">
    <w:name w:val="Endnote Text Char"/>
    <w:link w:val="EndnoteText"/>
    <w:uiPriority w:val="99"/>
    <w:semiHidden w:val="1"/>
    <w:rsid w:val="006D50F1"/>
    <w:rPr>
      <w:lang w:eastAsia="zh-CN" w:val="en-AU"/>
    </w:rPr>
  </w:style>
  <w:style w:type="character" w:styleId="EndnoteReference">
    <w:name w:val="endnote reference"/>
    <w:uiPriority w:val="99"/>
    <w:semiHidden w:val="1"/>
    <w:unhideWhenUsed w:val="1"/>
    <w:rsid w:val="006D50F1"/>
    <w:rPr>
      <w:vertAlign w:val="superscript"/>
    </w:rPr>
  </w:style>
  <w:style w:type="paragraph" w:styleId="FootnoteText">
    <w:name w:val="footnote text"/>
    <w:basedOn w:val="Normal"/>
    <w:link w:val="FootnoteTextChar"/>
    <w:uiPriority w:val="99"/>
    <w:semiHidden w:val="1"/>
    <w:unhideWhenUsed w:val="1"/>
    <w:rsid w:val="006D50F1"/>
    <w:rPr>
      <w:sz w:val="20"/>
      <w:szCs w:val="20"/>
    </w:rPr>
  </w:style>
  <w:style w:type="character" w:styleId="FootnoteTextChar" w:customStyle="1">
    <w:name w:val="Footnote Text Char"/>
    <w:link w:val="FootnoteText"/>
    <w:uiPriority w:val="99"/>
    <w:semiHidden w:val="1"/>
    <w:rsid w:val="006D50F1"/>
    <w:rPr>
      <w:lang w:eastAsia="zh-CN" w:val="en-AU"/>
    </w:rPr>
  </w:style>
  <w:style w:type="character" w:styleId="FootnoteReference">
    <w:name w:val="footnote reference"/>
    <w:uiPriority w:val="99"/>
    <w:semiHidden w:val="1"/>
    <w:unhideWhenUsed w:val="1"/>
    <w:rsid w:val="006D50F1"/>
    <w:rPr>
      <w:vertAlign w:val="superscript"/>
    </w:rPr>
  </w:style>
  <w:style w:type="character" w:styleId="SubtleEmphasis">
    <w:name w:val="Subtle Emphasis"/>
    <w:uiPriority w:val="19"/>
    <w:qFormat w:val="1"/>
    <w:rsid w:val="007C004C"/>
    <w:rPr>
      <w:i w:val="1"/>
      <w:iCs w:val="1"/>
      <w:color w:val="808080"/>
    </w:rPr>
  </w:style>
  <w:style w:type="paragraph" w:styleId="BalloonText">
    <w:name w:val="Balloon Text"/>
    <w:basedOn w:val="Normal"/>
    <w:link w:val="BalloonTextChar"/>
    <w:uiPriority w:val="99"/>
    <w:semiHidden w:val="1"/>
    <w:unhideWhenUsed w:val="1"/>
    <w:rsid w:val="00B102F8"/>
    <w:rPr>
      <w:rFonts w:ascii="Tahoma" w:cs="Tahoma" w:hAnsi="Tahoma"/>
      <w:sz w:val="16"/>
      <w:szCs w:val="16"/>
    </w:rPr>
  </w:style>
  <w:style w:type="character" w:styleId="BalloonTextChar" w:customStyle="1">
    <w:name w:val="Balloon Text Char"/>
    <w:link w:val="BalloonText"/>
    <w:uiPriority w:val="99"/>
    <w:semiHidden w:val="1"/>
    <w:rsid w:val="00B102F8"/>
    <w:rPr>
      <w:rFonts w:ascii="Tahoma" w:cs="Tahoma" w:hAnsi="Tahoma"/>
      <w:sz w:val="16"/>
      <w:szCs w:val="16"/>
      <w:lang w:eastAsia="zh-CN" w:val="en-AU"/>
    </w:rPr>
  </w:style>
  <w:style w:type="paragraph" w:styleId="IJASEITEquation" w:customStyle="1">
    <w:name w:val="IJASEIT Equation"/>
    <w:basedOn w:val="IJASEITParagraph"/>
    <w:qFormat w:val="1"/>
    <w:rsid w:val="00C92FF0"/>
    <w:pPr>
      <w:tabs>
        <w:tab w:val="center" w:pos="2438"/>
        <w:tab w:val="right" w:pos="4876"/>
      </w:tabs>
      <w:ind w:firstLine="0"/>
    </w:pPr>
  </w:style>
  <w:style w:type="paragraph" w:styleId="StyleISCAuthorAffiliationSuperscript" w:customStyle="1">
    <w:name w:val="Style ISC Author Affiliation + Superscript"/>
    <w:basedOn w:val="IJASEITAuthorAffiliation"/>
    <w:rsid w:val="00C61E47"/>
    <w:rPr>
      <w:iCs w:val="1"/>
      <w:vertAlign w:val="superscript"/>
    </w:rPr>
  </w:style>
  <w:style w:type="paragraph" w:styleId="References" w:customStyle="1">
    <w:name w:val="References"/>
    <w:basedOn w:val="Normal"/>
    <w:rsid w:val="009E29CD"/>
    <w:pPr>
      <w:numPr>
        <w:numId w:val="9"/>
      </w:numPr>
      <w:jc w:val="both"/>
    </w:pPr>
    <w:rPr>
      <w:rFonts w:eastAsia="Times New Roman"/>
      <w:sz w:val="16"/>
      <w:szCs w:val="16"/>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0Krtod4bGrT1rWLEyCapYoLXw==">CgMxLjAyCGguZ2pkZ3hzMgloLjMwajB6bGwyCWguMWZvYjl0ZTIJaC4zem55c2g3OAByITFGZW5qeEFRaHpRc3ZpNnU4WnU2ZTg2U2FqU0NnV2VWSQ==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2021-02-07T07:44:00Z</dcterms:created>
  <dc:creator>Causal Productions</dc:creator>
</cp:coreProperties>
</file>