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</w:pPr>
      <w:r>
        <w:rPr>
          <w:b/>
          <w:color w:val="065F46"/>
          <w:sz w:val="32"/>
        </w:rPr>
        <w:t>End-to-End Process Pemesanan dan Pembayaran Produk Mafiking</w:t>
      </w:r>
    </w:p>
    <w:p>
      <w:r>
        <w:rPr>
          <w:b/>
        </w:rPr>
        <w:t xml:space="preserve">Nama Website: </w:t>
      </w:r>
      <w:r>
        <w:t>Mafiking</w:t>
      </w:r>
    </w:p>
    <w:p>
      <w:r>
        <w:rPr>
          <w:b/>
        </w:rPr>
        <w:t xml:space="preserve">Domain Website: </w:t>
      </w:r>
      <w:r>
        <w:t>mafiking.com</w:t>
      </w:r>
    </w:p>
    <w:p>
      <w:r>
        <w:rPr>
          <w:b/>
        </w:rPr>
        <w:t xml:space="preserve">Jenis Produk/Jasa: </w:t>
      </w:r>
      <w:r>
        <w:t>Platform pembelajaran online untuk materi Matematika, Fisika, dan Kimia bagi mahasiswa TPB ITB semester 1 dan semester 2</w:t>
      </w:r>
    </w:p>
    <w:p>
      <w:r>
        <w:rPr>
          <w:b/>
        </w:rPr>
        <w:t xml:space="preserve">Provider Pembayaran: </w:t>
      </w:r>
      <w:r>
        <w:t>Midtrans</w:t>
      </w:r>
    </w:p>
    <w:p>
      <w:pPr>
        <w:spacing w:after="160"/>
      </w:pPr>
      <w:r>
        <w:rPr>
          <w:b/>
          <w:color w:val="047857"/>
          <w:sz w:val="26"/>
        </w:rPr>
        <w:t>1. Ringkasan Produk/Jasa yang Dijual</w:t>
      </w:r>
    </w:p>
    <w:p>
      <w:r>
        <w:t>Mafiking menjual layanan pembelajaran online untuk materi Matematika, Fisika, dan Kimia bagi mahasiswa Tahap Persiapan Bersama (TPB) ITB semester 1 dan semester 2. Produk/jasa yang tersedia berupa layanan digital yang dapat dibeli atau diakses pelanggan melalui website. Setelah pembayaran berhasil, pelanggan mendapatkan akses ke fitur materi, latihan soal, koreksi jawaban, pembahasan, dan/atau evaluasi belajar sesuai layanan yang dipilih. Rentang harga produk/jasa Mafiking adalah Rp0 sampai Rp100.000.</w:t>
      </w:r>
    </w:p>
    <w:tbl>
      <w:tblPr>
        <w:tblStyle w:val="3"/>
        <w:tblW w:w="0" w:type="auto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0"/>
        <w:gridCol w:w="2408"/>
        <w:gridCol w:w="4931"/>
        <w:gridCol w:w="1649"/>
      </w:tblGrid>
      <w:tr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ECFDF5"/>
            <w:vAlign w:val="top"/>
          </w:tcPr>
          <w:p>
            <w:r>
              <w:rPr>
                <w:b/>
                <w:color w:val="064E3B"/>
              </w:rPr>
              <w:t>No</w:t>
            </w:r>
          </w:p>
        </w:tc>
        <w:tc>
          <w:tcPr>
            <w:tcW w:w="2500" w:type="dxa"/>
            <w:shd w:val="clear" w:color="auto" w:fill="ECFDF5"/>
            <w:vAlign w:val="top"/>
          </w:tcPr>
          <w:p>
            <w:r>
              <w:rPr>
                <w:b/>
                <w:color w:val="064E3B"/>
              </w:rPr>
              <w:t>Nama Produk/Jasa</w:t>
            </w:r>
          </w:p>
        </w:tc>
        <w:tc>
          <w:tcPr>
            <w:tcW w:w="5200" w:type="dxa"/>
            <w:shd w:val="clear" w:color="auto" w:fill="ECFDF5"/>
            <w:vAlign w:val="top"/>
          </w:tcPr>
          <w:p>
            <w:r>
              <w:rPr>
                <w:b/>
                <w:color w:val="064E3B"/>
              </w:rPr>
              <w:t>Deskripsi</w:t>
            </w:r>
          </w:p>
        </w:tc>
        <w:tc>
          <w:tcPr>
            <w:tcW w:w="1700" w:type="dxa"/>
            <w:shd w:val="clear" w:color="auto" w:fill="ECFDF5"/>
            <w:vAlign w:val="top"/>
          </w:tcPr>
          <w:p>
            <w:r>
              <w:rPr>
                <w:b/>
                <w:color w:val="064E3B"/>
              </w:rPr>
              <w:t>Harga</w:t>
            </w:r>
          </w:p>
        </w:tc>
      </w:tr>
      <w:tr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top"/>
          </w:tcPr>
          <w:p>
            <w:r>
              <w:t>1</w:t>
            </w:r>
          </w:p>
        </w:tc>
        <w:tc>
          <w:tcPr>
            <w:tcW w:w="2500" w:type="dxa"/>
            <w:vAlign w:val="top"/>
          </w:tcPr>
          <w:p>
            <w:r>
              <w:t>Akses Materi TPB ITB</w:t>
            </w:r>
          </w:p>
        </w:tc>
        <w:tc>
          <w:tcPr>
            <w:tcW w:w="5200" w:type="dxa"/>
            <w:vAlign w:val="top"/>
          </w:tcPr>
          <w:p>
            <w:r>
              <w:t>Akses materi pembelajaran Matematika, Fisika, dan Kimia untuk mahasiswa TPB ITB semester 1 dan semester 2.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default"/>
                <w:lang w:val="en-US"/>
              </w:rPr>
            </w:pPr>
            <w:r>
              <w:t>Rp</w:t>
            </w:r>
            <w:r>
              <w:rPr>
                <w:rFonts w:hint="default"/>
                <w:lang w:val="en-US"/>
              </w:rPr>
              <w:t>49.000</w:t>
            </w:r>
          </w:p>
        </w:tc>
      </w:tr>
      <w:tr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top"/>
          </w:tcPr>
          <w:p>
            <w:r>
              <w:t>2</w:t>
            </w:r>
          </w:p>
        </w:tc>
        <w:tc>
          <w:tcPr>
            <w:tcW w:w="2500" w:type="dxa"/>
            <w:vAlign w:val="top"/>
          </w:tcPr>
          <w:p>
            <w:r>
              <w:t>Latihan Soal TPB ITB</w:t>
            </w:r>
          </w:p>
        </w:tc>
        <w:tc>
          <w:tcPr>
            <w:tcW w:w="5200" w:type="dxa"/>
            <w:vAlign w:val="top"/>
          </w:tcPr>
          <w:p>
            <w:r>
              <w:t>Akses latihan soal digital untuk materi Matematika, Fisika, dan Kimia TPB ITB semester 1 dan semester 2.</w:t>
            </w:r>
          </w:p>
        </w:tc>
        <w:tc>
          <w:tcPr>
            <w:tcW w:w="1700" w:type="dxa"/>
            <w:vAlign w:val="top"/>
          </w:tcPr>
          <w:p>
            <w:r>
              <w:t>Rp1</w:t>
            </w:r>
            <w:r>
              <w:rPr>
                <w:rFonts w:hint="default"/>
                <w:lang w:val="en-US"/>
              </w:rPr>
              <w:t>5</w:t>
            </w:r>
            <w:r>
              <w:t>.000</w:t>
            </w:r>
          </w:p>
        </w:tc>
      </w:tr>
      <w:tr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top"/>
          </w:tcPr>
          <w:p>
            <w:r>
              <w:t>3</w:t>
            </w:r>
          </w:p>
        </w:tc>
        <w:tc>
          <w:tcPr>
            <w:tcW w:w="2500" w:type="dxa"/>
            <w:vAlign w:val="top"/>
          </w:tcPr>
          <w:p>
            <w:r>
              <w:t>Koreksi Jawaban dan Pembahasan</w:t>
            </w:r>
          </w:p>
        </w:tc>
        <w:tc>
          <w:tcPr>
            <w:tcW w:w="5200" w:type="dxa"/>
            <w:vAlign w:val="top"/>
          </w:tcPr>
          <w:p>
            <w:r>
              <w:t>Layanan koreksi jawaban dan pembahasan untuk membantu mahasiswa TPB ITB memahami kesalahan pengerjaan soal Matematika, Fisika, dan Kimia.</w:t>
            </w:r>
          </w:p>
        </w:tc>
        <w:tc>
          <w:tcPr>
            <w:tcW w:w="1700" w:type="dxa"/>
            <w:vAlign w:val="top"/>
          </w:tcPr>
          <w:p>
            <w:r>
              <w:t>Rp</w:t>
            </w:r>
            <w:r>
              <w:rPr>
                <w:rFonts w:hint="default"/>
                <w:lang w:val="en-US"/>
              </w:rPr>
              <w:t>25</w:t>
            </w:r>
            <w:r>
              <w:t>.000</w:t>
            </w:r>
          </w:p>
        </w:tc>
      </w:tr>
      <w:tr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top"/>
          </w:tcPr>
          <w:p>
            <w:r>
              <w:t>4</w:t>
            </w:r>
          </w:p>
        </w:tc>
        <w:tc>
          <w:tcPr>
            <w:tcW w:w="2500" w:type="dxa"/>
            <w:vAlign w:val="top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Zoom dan Tutorial</w:t>
            </w:r>
          </w:p>
        </w:tc>
        <w:tc>
          <w:tcPr>
            <w:tcW w:w="5200" w:type="dxa"/>
            <w:vAlign w:val="top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Pembelajaran online bersama mentor berpengalaman dan berprestasi</w:t>
            </w:r>
            <w:bookmarkStart w:id="0" w:name="_GoBack"/>
            <w:bookmarkEnd w:id="0"/>
          </w:p>
        </w:tc>
        <w:tc>
          <w:tcPr>
            <w:tcW w:w="1700" w:type="dxa"/>
            <w:vAlign w:val="top"/>
          </w:tcPr>
          <w:p>
            <w:r>
              <w:t>Rp0-Rp100.000</w:t>
            </w:r>
          </w:p>
        </w:tc>
      </w:tr>
    </w:tbl>
    <w:p>
      <w:pPr>
        <w:spacing w:after="160"/>
      </w:pPr>
      <w:r>
        <w:rPr>
          <w:b/>
          <w:color w:val="047857"/>
          <w:sz w:val="26"/>
        </w:rPr>
        <w:t>2. Alur End-to-End Customer Memesan Produk/Jasa sampai Pembayaran</w:t>
      </w:r>
    </w:p>
    <w:p>
      <w:pPr>
        <w:spacing w:after="120"/>
      </w:pPr>
      <w:r>
        <w:rPr>
          <w:b/>
        </w:rPr>
        <w:t>1. Customer membuka website Mafiking.</w:t>
      </w:r>
      <w:r>
        <w:t>
Customer mengunjungi website Mafiking melalui domain mafiking.com.</w:t>
      </w:r>
    </w:p>
    <w:p>
      <w:pPr>
        <w:spacing w:after="120"/>
      </w:pPr>
      <w:r>
        <w:rPr>
          <w:b/>
        </w:rPr>
        <w:t>2. Customer melihat informasi produk/jasa.</w:t>
      </w:r>
      <w:r>
        <w:t>
Pada halaman utama website, customer dapat melihat daftar produk/jasa yang dijual, deskripsi produk, manfaat produk, dan harga dalam Rupiah.</w:t>
      </w:r>
    </w:p>
    <w:p>
      <w:pPr>
        <w:spacing w:after="120"/>
      </w:pPr>
      <w:r>
        <w:rPr>
          <w:b/>
        </w:rPr>
        <w:t>3. Customer memilih produk/jasa.</w:t>
      </w:r>
      <w:r>
        <w:t>
Customer memilih layanan yang ingin digunakan, misalnya akses materi TPB ITB, latihan soal TPB ITB, koreksi jawaban dan pembahasan, atau evaluasi belajar TPB ITB.</w:t>
      </w:r>
    </w:p>
    <w:p>
      <w:pPr>
        <w:spacing w:after="120"/>
      </w:pPr>
      <w:r>
        <w:rPr>
          <w:b/>
        </w:rPr>
        <w:t>4. Customer menekan tombol beli/checkout.</w:t>
      </w:r>
      <w:r>
        <w:t>
Setelah memilih produk, customer menekan tombol beli atau checkout pada website.</w:t>
      </w:r>
    </w:p>
    <w:p>
      <w:pPr>
        <w:spacing w:after="120"/>
      </w:pPr>
      <w:r>
        <w:rPr>
          <w:b/>
        </w:rPr>
        <w:t>5. Website mengecek status login customer.</w:t>
      </w:r>
      <w:r>
        <w:t>
Jika customer belum login, website akan meminta customer untuk login terlebih dahulu agar transaksi dapat dikaitkan dengan akun customer. Jika customer sudah login, website langsung melanjutkan ke proses checkout.</w:t>
      </w:r>
    </w:p>
    <w:p>
      <w:pPr>
        <w:spacing w:after="120"/>
      </w:pPr>
      <w:r>
        <w:rPr>
          <w:b/>
        </w:rPr>
        <w:t>6. Website membuat transaksi pembayaran.</w:t>
      </w:r>
      <w:r>
        <w:t>
Website membuat order dengan data produk yang dipilih, nominal pembayaran, data customer, dan nomor transaksi unik.</w:t>
      </w:r>
    </w:p>
    <w:p>
      <w:pPr>
        <w:spacing w:after="120"/>
      </w:pPr>
      <w:r>
        <w:rPr>
          <w:b/>
        </w:rPr>
        <w:t>7. Website mengirim data transaksi ke Midtrans.</w:t>
      </w:r>
      <w:r>
        <w:t>
Sistem Mafiking mengirimkan detail transaksi ke Midtrans melalui integrasi pembayaran yang digunakan. Data yang dikirim mencakup order ID, total pembayaran, nama produk, harga, dan informasi customer.</w:t>
      </w:r>
    </w:p>
    <w:p>
      <w:pPr>
        <w:spacing w:after="120"/>
      </w:pPr>
      <w:r>
        <w:rPr>
          <w:b/>
        </w:rPr>
        <w:t>8. Customer diarahkan ke halaman pembayaran Midtrans.</w:t>
      </w:r>
      <w:r>
        <w:t>
Setelah transaksi berhasil dibuat, customer diarahkan ke halaman pembayaran Midtrans atau halaman pembayaran yang menampilkan metode pembayaran yang tersedia.</w:t>
      </w:r>
    </w:p>
    <w:p>
      <w:pPr>
        <w:spacing w:after="120"/>
      </w:pPr>
      <w:r>
        <w:rPr>
          <w:b/>
        </w:rPr>
        <w:t>9. Customer memilih metode pembayaran.</w:t>
      </w:r>
      <w:r>
        <w:t>
Customer memilih metode pembayaran yang tersedia di Midtrans, seperti virtual account, QRIS, e-wallet, kartu, atau metode lain yang aktif pada akun Midtrans.</w:t>
      </w:r>
    </w:p>
    <w:p>
      <w:pPr>
        <w:spacing w:after="120"/>
      </w:pPr>
      <w:r>
        <w:rPr>
          <w:b/>
        </w:rPr>
        <w:t>10. Customer menyelesaikan pembayaran.</w:t>
      </w:r>
      <w:r>
        <w:t>
Customer mengikuti instruksi pembayaran dari Midtrans sampai pembayaran berhasil diproses.</w:t>
      </w:r>
    </w:p>
    <w:p>
      <w:pPr>
        <w:spacing w:after="120"/>
      </w:pPr>
      <w:r>
        <w:rPr>
          <w:b/>
        </w:rPr>
        <w:t>11. Midtrans mengirim notifikasi pembayaran ke website.</w:t>
      </w:r>
      <w:r>
        <w:t>
Setelah pembayaran diproses, Midtrans mengirimkan notifikasi status transaksi ke sistem Mafiking melalui endpoint callback/notification.</w:t>
      </w:r>
    </w:p>
    <w:p>
      <w:pPr>
        <w:spacing w:after="120"/>
      </w:pPr>
      <w:r>
        <w:rPr>
          <w:b/>
        </w:rPr>
        <w:t>12. Website memperbarui status transaksi.</w:t>
      </w:r>
      <w:r>
        <w:t>
Sistem Mafiking memverifikasi notifikasi dari Midtrans, lalu memperbarui status transaksi menjadi berhasil, pending, gagal, atau kedaluwarsa sesuai status dari Midtrans.</w:t>
      </w:r>
    </w:p>
    <w:p>
      <w:pPr>
        <w:spacing w:after="120"/>
      </w:pPr>
      <w:r>
        <w:rPr>
          <w:b/>
        </w:rPr>
        <w:t>13. Akses produk diberikan kepada customer.</w:t>
      </w:r>
      <w:r>
        <w:t>
Jika pembayaran berhasil, sistem Mafiking mengaktifkan akses layanan digital sesuai produk/jasa yang dibeli. Customer dapat menggunakan materi, latihan soal, koreksi jawaban, pembahasan, atau evaluasi belajar sesuai hak aksesnya.</w:t>
      </w:r>
    </w:p>
    <w:p>
      <w:pPr>
        <w:spacing w:after="120"/>
      </w:pPr>
      <w:r>
        <w:rPr>
          <w:b/>
        </w:rPr>
        <w:t>14. Customer menggunakan produk/jasa.</w:t>
      </w:r>
      <w:r>
        <w:t>
Customer dapat masuk ke akun Mafiking dan menggunakan produk digital yang telah dibeli melalui website.</w:t>
      </w:r>
    </w:p>
    <w:p>
      <w:pPr>
        <w:spacing w:after="160"/>
      </w:pPr>
      <w:r>
        <w:rPr>
          <w:b/>
          <w:color w:val="047857"/>
          <w:sz w:val="26"/>
        </w:rPr>
        <w:t>3. Flow Singkat Transaksi</w:t>
      </w:r>
    </w:p>
    <w:p>
      <w:r>
        <w:t>Customer membuka mafiking.com &gt; memilih produk/jasa &gt; klik beli/checkout &gt; login atau membuat akun jika diperlukan &gt; sistem membuat transaksi &gt; customer diarahkan ke Midtrans &gt; customer memilih metode pembayaran &gt; customer membayar &gt; Midtrans mengirim notifikasi pembayaran &gt; sistem Mafiking memverifikasi pembayaran &gt; akses produk digital diberikan kepada customer.</w:t>
      </w:r>
    </w:p>
    <w:p>
      <w:pPr>
        <w:spacing w:after="160"/>
      </w:pPr>
      <w:r>
        <w:rPr>
          <w:b/>
          <w:color w:val="047857"/>
          <w:sz w:val="26"/>
        </w:rPr>
        <w:t>4. Kontak Support</w:t>
      </w:r>
    </w:p>
    <w:p>
      <w:r>
        <w:t>Jika customer mengalami kendala dalam pemesanan, pembayaran, atau akses produk, customer dapat menghubungi kontak support berikut:</w:t>
      </w:r>
    </w:p>
    <w:p>
      <w:pPr>
        <w:spacing w:after="80"/>
      </w:pPr>
      <w:r>
        <w:t>Email: mafikingsolusitpb@gmail.com</w:t>
      </w:r>
    </w:p>
    <w:p>
      <w:pPr>
        <w:spacing w:after="80"/>
      </w:pPr>
      <w:r>
        <w:t>Nomor Telepon/WhatsApp: +62 812-4604-9951</w:t>
      </w:r>
    </w:p>
    <w:p>
      <w:pPr>
        <w:spacing w:after="80"/>
      </w:pPr>
      <w:r>
        <w:t>Alamat Usaha: Jalan Let. Jend. Purn. Dr. (HC) Mashudi No. 1 (Jalan Raya Jatinangor Km 20,75), Sayang, Kecamatan Jatinangor, Kabupaten Sumedang, Jawa Barat</w:t>
      </w:r>
    </w:p>
    <w:p>
      <w:pPr>
        <w:spacing w:after="160"/>
      </w:pPr>
      <w:r>
        <w:rPr>
          <w:b/>
          <w:color w:val="047857"/>
          <w:sz w:val="26"/>
        </w:rPr>
        <w:t>5. Catatan</w:t>
      </w:r>
    </w:p>
    <w:p>
      <w:r>
        <w:t>Produk Mafiking merupakan produk/jasa digital. Akses produk diberikan setelah sistem menerima dan memverifikasi status pembayaran berhasil dari Midtrans.</w:t>
      </w:r>
    </w:p>
    <w:sectPr>
      <w:pgSz w:w="11906" w:h="16838"/>
      <w:pgMar w:top="1134" w:right="1134" w:bottom="1134" w:left="1134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69EB6B5A"/>
    <w:rsid w:val="6FFF6B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2026-06-05T22:57:00Z</dcterms:created>
  <dc:creator>abiyulinx</dc:creator>
  <cp:lastModifiedBy>abiyulinx</cp:lastModifiedBy>
  <dcterms:modified xsi:type="dcterms:W3CDTF">2026-06-05T15:58:59Z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