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60"/>
        <w:tblGridChange w:id="0">
          <w:tblGrid>
            <w:gridCol w:w="10260"/>
          </w:tblGrid>
        </w:tblGridChange>
      </w:tblGrid>
      <w:tr>
        <w:trPr>
          <w:cantSplit w:val="0"/>
          <w:tblHeader w:val="0"/>
        </w:trPr>
        <w:tc>
          <w:tcPr>
            <w:tcBorders>
              <w:top w:color="1a6b55" w:space="0" w:sz="8" w:val="single"/>
              <w:left w:color="000000" w:space="0" w:sz="0" w:val="nil"/>
              <w:bottom w:color="1a6b55" w:space="0" w:sz="8" w:val="single"/>
              <w:right w:color="000000" w:space="0" w:sz="0" w:val="nil"/>
            </w:tcBorders>
            <w:shd w:fill="e8f5ee" w:val="clear"/>
            <w:tcMar>
              <w:top w:w="180.0" w:type="dxa"/>
              <w:left w:w="280.0" w:type="dxa"/>
              <w:bottom w:w="180.0" w:type="dxa"/>
              <w:right w:w="280.0" w:type="dxa"/>
            </w:tcMar>
          </w:tcPr>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1a6b55"/>
                <w:sz w:val="22"/>
                <w:szCs w:val="22"/>
                <w:rtl w:val="0"/>
              </w:rPr>
              <w:t xml:space="preserve">HSIL Hackathon – Concept Note</w:t>
            </w:r>
            <w:r w:rsidDel="00000000" w:rsidR="00000000" w:rsidRPr="00000000">
              <w:rPr>
                <w:rtl w:val="0"/>
              </w:rPr>
            </w:r>
          </w:p>
          <w:p w:rsidR="00000000" w:rsidDel="00000000" w:rsidP="00000000" w:rsidRDefault="00000000" w:rsidRPr="00000000" w14:paraId="00000003">
            <w:pPr>
              <w:spacing w:before="80" w:lineRule="auto"/>
              <w:jc w:val="center"/>
              <w:rPr/>
            </w:pPr>
            <w:r w:rsidDel="00000000" w:rsidR="00000000" w:rsidRPr="00000000">
              <w:rPr>
                <w:rFonts w:ascii="Arial" w:cs="Arial" w:eastAsia="Arial" w:hAnsi="Arial"/>
                <w:b w:val="1"/>
                <w:bCs w:val="1"/>
                <w:color w:val="1a1a1a"/>
                <w:sz w:val="28"/>
                <w:szCs w:val="28"/>
                <w:rtl w:val="0"/>
              </w:rPr>
              <w:t xml:space="preserve">NeuroSense: Passive Smartphone Monitoring for Parkinson's Disease</w:t>
            </w:r>
            <w:r w:rsidDel="00000000" w:rsidR="00000000" w:rsidRPr="00000000">
              <w:rPr>
                <w:rtl w:val="0"/>
              </w:rPr>
            </w:r>
          </w:p>
          <w:p w:rsidR="00000000" w:rsidDel="00000000" w:rsidP="00000000" w:rsidRDefault="00000000" w:rsidRPr="00000000" w14:paraId="00000004">
            <w:pPr>
              <w:spacing w:after="60" w:before="60" w:lineRule="auto"/>
              <w:jc w:val="center"/>
              <w:rPr/>
            </w:pPr>
            <w:r w:rsidDel="00000000" w:rsidR="00000000" w:rsidRPr="00000000">
              <w:rPr>
                <w:rFonts w:ascii="Arial" w:cs="Arial" w:eastAsia="Arial" w:hAnsi="Arial"/>
                <w:i w:val="1"/>
                <w:iCs w:val="1"/>
                <w:color w:val="444444"/>
                <w:sz w:val="18"/>
                <w:szCs w:val="18"/>
                <w:rtl w:val="0"/>
              </w:rPr>
              <w:t xml:space="preserve">A Family-Centred Remote Monitoring Platform  |  Team Beirut 332</w:t>
            </w:r>
            <w:r w:rsidDel="00000000" w:rsidR="00000000" w:rsidRPr="00000000">
              <w:rPr>
                <w:rtl w:val="0"/>
              </w:rPr>
            </w:r>
          </w:p>
        </w:tc>
      </w:tr>
    </w:tbl>
    <w:p w:rsidR="00000000" w:rsidDel="00000000" w:rsidP="00000000" w:rsidRDefault="00000000" w:rsidRPr="00000000" w14:paraId="00000005">
      <w:pPr>
        <w:spacing w:after="40" w:before="40" w:lineRule="auto"/>
        <w:rPr/>
      </w:pPr>
      <w:r w:rsidDel="00000000" w:rsidR="00000000" w:rsidRPr="00000000">
        <w:rPr>
          <w:rtl w:val="0"/>
        </w:rPr>
      </w:r>
    </w:p>
    <w:tbl>
      <w:tblPr>
        <w:tblStyle w:val="Table2"/>
        <w:tblW w:w="102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75"/>
        <w:tblGridChange w:id="0">
          <w:tblGrid>
            <w:gridCol w:w="10275"/>
          </w:tblGrid>
        </w:tblGridChange>
      </w:tblGrid>
      <w:tr>
        <w:trPr>
          <w:cantSplit w:val="0"/>
          <w:tblHeader w:val="0"/>
        </w:trPr>
        <w:tc>
          <w:tcPr>
            <w:tcBorders>
              <w:top w:color="e6a817" w:space="0" w:sz="4" w:val="single"/>
              <w:left w:color="e6a817" w:space="0" w:sz="12" w:val="single"/>
              <w:bottom w:color="e6a817" w:space="0" w:sz="4" w:val="single"/>
              <w:right w:color="000000" w:space="0" w:sz="0" w:val="nil"/>
            </w:tcBorders>
            <w:shd w:fill="fff8e6" w:val="clear"/>
            <w:tcMar>
              <w:top w:w="100.0" w:type="dxa"/>
              <w:left w:w="200.0" w:type="dxa"/>
              <w:bottom w:w="100.0" w:type="dxa"/>
              <w:right w:w="200.0" w:type="dxa"/>
            </w:tcMar>
          </w:tcPr>
          <w:p w:rsidR="00000000" w:rsidDel="00000000" w:rsidP="00000000" w:rsidRDefault="00000000" w:rsidRPr="00000000" w14:paraId="00000006">
            <w:pPr>
              <w:spacing w:after="0" w:before="0" w:lineRule="auto"/>
              <w:rPr/>
            </w:pPr>
            <w:r w:rsidDel="00000000" w:rsidR="00000000" w:rsidRPr="00000000">
              <w:rPr>
                <w:rFonts w:ascii="Arial" w:cs="Arial" w:eastAsia="Arial" w:hAnsi="Arial"/>
                <w:b w:val="1"/>
                <w:bCs w:val="1"/>
                <w:color w:val="7a4f00"/>
                <w:sz w:val="18"/>
                <w:szCs w:val="18"/>
                <w:rtl w:val="0"/>
              </w:rPr>
              <w:t xml:space="preserve">Work in Progress: </w:t>
            </w:r>
            <w:r w:rsidDel="00000000" w:rsidR="00000000" w:rsidRPr="00000000">
              <w:rPr>
                <w:rFonts w:ascii="Arial" w:cs="Arial" w:eastAsia="Arial" w:hAnsi="Arial"/>
                <w:i w:val="1"/>
                <w:iCs w:val="1"/>
                <w:color w:val="7a4f00"/>
                <w:sz w:val="18"/>
                <w:szCs w:val="18"/>
                <w:rtl w:val="0"/>
              </w:rPr>
              <w:t xml:space="preserve">This concept note reflects our thinking at the start of the hackathon. As we progress, findings from research, testing, user feedback, and new data or technologies may require us to refine or adjust aspects of the proposed solution. We welcome mentor input as part of this iterative process.</w:t>
            </w:r>
            <w:r w:rsidDel="00000000" w:rsidR="00000000" w:rsidRPr="00000000">
              <w:rPr>
                <w:rtl w:val="0"/>
              </w:rPr>
            </w:r>
          </w:p>
        </w:tc>
      </w:tr>
    </w:tbl>
    <w:p w:rsidR="00000000" w:rsidDel="00000000" w:rsidP="00000000" w:rsidRDefault="00000000" w:rsidRPr="00000000" w14:paraId="00000007">
      <w:pPr>
        <w:spacing w:after="40" w:before="40" w:lineRule="auto"/>
        <w:rPr/>
      </w:pPr>
      <w:r w:rsidDel="00000000" w:rsidR="00000000" w:rsidRPr="00000000">
        <w:rPr>
          <w:rtl w:val="0"/>
        </w:rPr>
      </w:r>
    </w:p>
    <w:tbl>
      <w:tblPr>
        <w:tblStyle w:val="Table3"/>
        <w:tblW w:w="102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8475"/>
        <w:tblGridChange w:id="0">
          <w:tblGrid>
            <w:gridCol w:w="1800"/>
            <w:gridCol w:w="847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70.0" w:type="dxa"/>
              <w:left w:w="120.0" w:type="dxa"/>
              <w:bottom w:w="7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1a1a1a"/>
                <w:sz w:val="18"/>
                <w:szCs w:val="18"/>
                <w:rtl w:val="0"/>
              </w:rPr>
              <w:t xml:space="preserve">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color w:val="444444"/>
                <w:sz w:val="18"/>
                <w:szCs w:val="18"/>
                <w:rtl w:val="0"/>
              </w:rPr>
              <w:t xml:space="preserve">Beirut 332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70.0" w:type="dxa"/>
              <w:left w:w="120.0" w:type="dxa"/>
              <w:bottom w:w="7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1a1a1a"/>
                <w:sz w:val="18"/>
                <w:szCs w:val="18"/>
                <w:rtl w:val="0"/>
              </w:rPr>
              <w:t xml:space="preserve">Members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color w:val="444444"/>
                <w:sz w:val="18"/>
                <w:szCs w:val="18"/>
                <w:rtl w:val="0"/>
              </w:rPr>
              <w:t xml:space="preserve">Jean Marc Achkar, Tamara Sadek, Ahmed </w:t>
            </w:r>
            <w:r w:rsidDel="00000000" w:rsidR="00000000" w:rsidRPr="00000000">
              <w:rPr>
                <w:color w:val="444444"/>
                <w:rtl w:val="0"/>
              </w:rPr>
              <w:t xml:space="preserve">Najia</w:t>
            </w:r>
            <w:r w:rsidDel="00000000" w:rsidR="00000000" w:rsidRPr="00000000">
              <w:rPr>
                <w:rFonts w:ascii="Arial" w:cs="Arial" w:eastAsia="Arial" w:hAnsi="Arial"/>
                <w:color w:val="444444"/>
                <w:sz w:val="18"/>
                <w:szCs w:val="18"/>
                <w:rtl w:val="0"/>
              </w:rPr>
              <w:t xml:space="preserve">, Jad Daorah, Abdulrahman Kobaissi</w:t>
            </w:r>
            <w:r w:rsidDel="00000000" w:rsidR="00000000" w:rsidRPr="00000000">
              <w:rPr>
                <w:rtl w:val="0"/>
              </w:rPr>
            </w:r>
          </w:p>
        </w:tc>
      </w:tr>
    </w:tbl>
    <w:p w:rsidR="00000000" w:rsidDel="00000000" w:rsidP="00000000" w:rsidRDefault="00000000" w:rsidRPr="00000000" w14:paraId="0000000C">
      <w:pPr>
        <w:spacing w:after="40" w:before="40" w:lineRule="auto"/>
        <w:rPr/>
      </w:pPr>
      <w:r w:rsidDel="00000000" w:rsidR="00000000" w:rsidRPr="00000000">
        <w:rPr>
          <w:rtl w:val="0"/>
        </w:rPr>
      </w:r>
    </w:p>
    <w:p w:rsidR="00000000" w:rsidDel="00000000" w:rsidP="00000000" w:rsidRDefault="00000000" w:rsidRPr="00000000" w14:paraId="0000000D">
      <w:pPr>
        <w:pBdr>
          <w:bottom w:color="1a6b55" w:space="3" w:sz="4" w:val="single"/>
        </w:pBdr>
        <w:spacing w:after="100" w:before="240" w:lineRule="auto"/>
        <w:jc w:val="both"/>
        <w:rPr/>
      </w:pPr>
      <w:r w:rsidDel="00000000" w:rsidR="00000000" w:rsidRPr="00000000">
        <w:rPr>
          <w:rFonts w:ascii="Arial" w:cs="Arial" w:eastAsia="Arial" w:hAnsi="Arial"/>
          <w:b w:val="1"/>
          <w:bCs w:val="1"/>
          <w:color w:val="1a6b55"/>
          <w:sz w:val="24"/>
          <w:szCs w:val="24"/>
          <w:rtl w:val="0"/>
        </w:rPr>
        <w:t xml:space="preserve">Problem Statement</w:t>
      </w:r>
      <w:r w:rsidDel="00000000" w:rsidR="00000000" w:rsidRPr="00000000">
        <w:rPr>
          <w:rtl w:val="0"/>
        </w:rPr>
      </w:r>
    </w:p>
    <w:p w:rsidR="00000000" w:rsidDel="00000000" w:rsidP="00000000" w:rsidRDefault="00000000" w:rsidRPr="00000000" w14:paraId="0000000E">
      <w:pPr>
        <w:spacing w:after="40" w:before="40" w:lineRule="auto"/>
        <w:jc w:val="both"/>
        <w:rPr/>
      </w:pPr>
      <w:r w:rsidDel="00000000" w:rsidR="00000000" w:rsidRPr="00000000">
        <w:rPr>
          <w:rFonts w:ascii="Arial" w:cs="Arial" w:eastAsia="Arial" w:hAnsi="Arial"/>
          <w:color w:val="444444"/>
          <w:sz w:val="18"/>
          <w:szCs w:val="18"/>
          <w:rtl w:val="0"/>
        </w:rPr>
        <w:t xml:space="preserve">Parkinson's disease (PD) affects 10 million people worldwide and grows fastest in low- and middle-income countries (LMICs). Its core medication — levodopa — has a ~90-minute half-life; a delay of just 30–60 minutes triggers severe symptom flare-ups. Yet patients see a neurologist only every 3–6 months, leaving clinicians to titrate doses based on brief, subjective in-clinic snapshots.</w:t>
      </w:r>
      <w:r w:rsidDel="00000000" w:rsidR="00000000" w:rsidRPr="00000000">
        <w:rPr>
          <w:rtl w:val="0"/>
        </w:rPr>
      </w:r>
    </w:p>
    <w:p w:rsidR="00000000" w:rsidDel="00000000" w:rsidP="00000000" w:rsidRDefault="00000000" w:rsidRPr="00000000" w14:paraId="0000000F">
      <w:pPr>
        <w:spacing w:after="40" w:before="40" w:lineRule="auto"/>
        <w:jc w:val="both"/>
        <w:rPr/>
      </w:pPr>
      <w:r w:rsidDel="00000000" w:rsidR="00000000" w:rsidRPr="00000000">
        <w:rPr>
          <w:rtl w:val="0"/>
        </w:rPr>
      </w:r>
    </w:p>
    <w:p w:rsidR="00000000" w:rsidDel="00000000" w:rsidP="00000000" w:rsidRDefault="00000000" w:rsidRPr="00000000" w14:paraId="00000010">
      <w:pPr>
        <w:spacing w:after="40" w:before="40" w:lineRule="auto"/>
        <w:jc w:val="both"/>
        <w:rPr/>
      </w:pPr>
      <w:r w:rsidDel="00000000" w:rsidR="00000000" w:rsidRPr="00000000">
        <w:rPr>
          <w:rFonts w:ascii="Arial" w:cs="Arial" w:eastAsia="Arial" w:hAnsi="Arial"/>
          <w:color w:val="444444"/>
          <w:sz w:val="18"/>
          <w:szCs w:val="18"/>
          <w:rtl w:val="0"/>
        </w:rPr>
        <w:t xml:space="preserve">This gap hits hardest for three groups: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both"/>
        <w:rPr/>
      </w:pPr>
      <w:r w:rsidDel="00000000" w:rsidR="00000000" w:rsidRPr="00000000">
        <w:rPr>
          <w:rFonts w:ascii="Arial" w:cs="Arial" w:eastAsia="Arial" w:hAnsi="Arial"/>
          <w:b w:val="1"/>
          <w:bCs w:val="1"/>
          <w:i w:val="0"/>
          <w:iCs w:val="0"/>
          <w:smallCaps w:val="0"/>
          <w:strike w:val="0"/>
          <w:color w:val="1a1a1a"/>
          <w:sz w:val="18"/>
          <w:szCs w:val="18"/>
          <w:u w:val="none"/>
          <w:shd w:fill="auto" w:val="clear"/>
          <w:vertAlign w:val="baseline"/>
          <w:rtl w:val="0"/>
        </w:rPr>
        <w:t xml:space="preserve">Patients: </w:t>
      </w: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Elderly and advanced-stage individuals who cannot sustain frequent specialist visits due to financial, logistical, or physical constraints.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both"/>
        <w:rPr/>
      </w:pPr>
      <w:r w:rsidDel="00000000" w:rsidR="00000000" w:rsidRPr="00000000">
        <w:rPr>
          <w:rFonts w:ascii="Arial" w:cs="Arial" w:eastAsia="Arial" w:hAnsi="Arial"/>
          <w:b w:val="1"/>
          <w:bCs w:val="1"/>
          <w:i w:val="0"/>
          <w:iCs w:val="0"/>
          <w:smallCaps w:val="0"/>
          <w:strike w:val="0"/>
          <w:color w:val="1a1a1a"/>
          <w:sz w:val="18"/>
          <w:szCs w:val="18"/>
          <w:u w:val="none"/>
          <w:shd w:fill="auto" w:val="clear"/>
          <w:vertAlign w:val="baseline"/>
          <w:rtl w:val="0"/>
        </w:rPr>
        <w:t xml:space="preserve">Families and caregivers: </w:t>
      </w: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PD is a whole-family burden. Caregivers monitor daily fluctuations and manage medications with no structured support or objective data.</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both"/>
        <w:rPr/>
      </w:pPr>
      <w:r w:rsidDel="00000000" w:rsidR="00000000" w:rsidRPr="00000000">
        <w:rPr>
          <w:rFonts w:ascii="Arial" w:cs="Arial" w:eastAsia="Arial" w:hAnsi="Arial"/>
          <w:b w:val="1"/>
          <w:bCs w:val="1"/>
          <w:i w:val="0"/>
          <w:iCs w:val="0"/>
          <w:smallCaps w:val="0"/>
          <w:strike w:val="0"/>
          <w:color w:val="1a1a1a"/>
          <w:sz w:val="18"/>
          <w:szCs w:val="18"/>
          <w:u w:val="none"/>
          <w:shd w:fill="auto" w:val="clear"/>
          <w:vertAlign w:val="baseline"/>
          <w:rtl w:val="0"/>
        </w:rPr>
        <w:t xml:space="preserve">Neurologists: </w:t>
      </w: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In Lebanon and across MENA, roughly 1 movement disorders specialist exists per million people, making remote monitoring essential.</w:t>
      </w:r>
      <w:r w:rsidDel="00000000" w:rsidR="00000000" w:rsidRPr="00000000">
        <w:rPr>
          <w:rtl w:val="0"/>
        </w:rPr>
      </w:r>
    </w:p>
    <w:p w:rsidR="00000000" w:rsidDel="00000000" w:rsidP="00000000" w:rsidRDefault="00000000" w:rsidRPr="00000000" w14:paraId="00000014">
      <w:pPr>
        <w:spacing w:after="40" w:before="40" w:lineRule="auto"/>
        <w:jc w:val="both"/>
        <w:rPr/>
      </w:pPr>
      <w:r w:rsidDel="00000000" w:rsidR="00000000" w:rsidRPr="00000000">
        <w:rPr>
          <w:rtl w:val="0"/>
        </w:rPr>
      </w:r>
    </w:p>
    <w:p w:rsidR="00000000" w:rsidDel="00000000" w:rsidP="00000000" w:rsidRDefault="00000000" w:rsidRPr="00000000" w14:paraId="00000015">
      <w:pPr>
        <w:spacing w:after="40" w:before="40" w:lineRule="auto"/>
        <w:jc w:val="both"/>
        <w:rPr/>
      </w:pPr>
      <w:r w:rsidDel="00000000" w:rsidR="00000000" w:rsidRPr="00000000">
        <w:rPr>
          <w:rFonts w:ascii="Arial" w:cs="Arial" w:eastAsia="Arial" w:hAnsi="Arial"/>
          <w:color w:val="444444"/>
          <w:sz w:val="18"/>
          <w:szCs w:val="18"/>
          <w:rtl w:val="0"/>
        </w:rPr>
        <w:t xml:space="preserve">Existing digital tools (StrivePD, Roche PD App, PKG Watch) require Apple Watches and high digital literacy, structurally excluding the patients who need monitoring most. Phone-based passive monitoring is underexplored, and the family/caregiver-centred design axis is absent from all FDA-approved devices in this space.</w:t>
      </w:r>
      <w:r w:rsidDel="00000000" w:rsidR="00000000" w:rsidRPr="00000000">
        <w:rPr>
          <w:rtl w:val="0"/>
        </w:rPr>
      </w:r>
    </w:p>
    <w:p w:rsidR="00000000" w:rsidDel="00000000" w:rsidP="00000000" w:rsidRDefault="00000000" w:rsidRPr="00000000" w14:paraId="00000016">
      <w:pPr>
        <w:spacing w:after="40" w:before="40" w:lineRule="auto"/>
        <w:jc w:val="both"/>
        <w:rPr/>
      </w:pPr>
      <w:r w:rsidDel="00000000" w:rsidR="00000000" w:rsidRPr="00000000">
        <w:rPr>
          <w:rtl w:val="0"/>
        </w:rPr>
      </w:r>
    </w:p>
    <w:p w:rsidR="00000000" w:rsidDel="00000000" w:rsidP="00000000" w:rsidRDefault="00000000" w:rsidRPr="00000000" w14:paraId="00000017">
      <w:pPr>
        <w:pBdr>
          <w:bottom w:color="1a6b55" w:space="3" w:sz="4" w:val="single"/>
        </w:pBdr>
        <w:spacing w:after="100" w:before="240" w:lineRule="auto"/>
        <w:jc w:val="both"/>
        <w:rPr/>
      </w:pPr>
      <w:r w:rsidDel="00000000" w:rsidR="00000000" w:rsidRPr="00000000">
        <w:rPr>
          <w:rFonts w:ascii="Arial" w:cs="Arial" w:eastAsia="Arial" w:hAnsi="Arial"/>
          <w:b w:val="1"/>
          <w:bCs w:val="1"/>
          <w:color w:val="1a6b55"/>
          <w:sz w:val="24"/>
          <w:szCs w:val="24"/>
          <w:rtl w:val="0"/>
        </w:rPr>
        <w:t xml:space="preserve">Proposed Solution</w:t>
      </w:r>
      <w:r w:rsidDel="00000000" w:rsidR="00000000" w:rsidRPr="00000000">
        <w:rPr>
          <w:rtl w:val="0"/>
        </w:rPr>
      </w:r>
    </w:p>
    <w:p w:rsidR="00000000" w:rsidDel="00000000" w:rsidP="00000000" w:rsidRDefault="00000000" w:rsidRPr="00000000" w14:paraId="00000018">
      <w:pPr>
        <w:spacing w:after="40" w:before="40" w:lineRule="auto"/>
        <w:jc w:val="both"/>
        <w:rPr/>
      </w:pPr>
      <w:r w:rsidDel="00000000" w:rsidR="00000000" w:rsidRPr="00000000">
        <w:rPr>
          <w:rFonts w:ascii="Arial" w:cs="Arial" w:eastAsia="Arial" w:hAnsi="Arial"/>
          <w:color w:val="444444"/>
          <w:sz w:val="18"/>
          <w:szCs w:val="18"/>
          <w:rtl w:val="0"/>
        </w:rPr>
        <w:t xml:space="preserve">NeuroSense is an Android app that passively monitors PD symptoms using only the phone's built-in IMU — no smartwatch, no wearable, no daily patient engagement required. It is operated primarily by a family caregiver or visiting nurse, and delivers tiered reports to both the family and the treating neurologist.</w:t>
      </w:r>
      <w:r w:rsidDel="00000000" w:rsidR="00000000" w:rsidRPr="00000000">
        <w:rPr>
          <w:rtl w:val="0"/>
        </w:rPr>
      </w:r>
    </w:p>
    <w:p w:rsidR="00000000" w:rsidDel="00000000" w:rsidP="00000000" w:rsidRDefault="00000000" w:rsidRPr="00000000" w14:paraId="00000019">
      <w:pPr>
        <w:spacing w:after="40" w:before="40" w:lineRule="auto"/>
        <w:jc w:val="both"/>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both"/>
        <w:rPr/>
      </w:pPr>
      <w:r w:rsidDel="00000000" w:rsidR="00000000" w:rsidRPr="00000000">
        <w:rPr>
          <w:rFonts w:ascii="Arial" w:cs="Arial" w:eastAsia="Arial" w:hAnsi="Arial"/>
          <w:b w:val="1"/>
          <w:bCs w:val="1"/>
          <w:i w:val="0"/>
          <w:iCs w:val="0"/>
          <w:smallCaps w:val="0"/>
          <w:strike w:val="0"/>
          <w:color w:val="1a1a1a"/>
          <w:sz w:val="18"/>
          <w:szCs w:val="18"/>
          <w:u w:val="none"/>
          <w:shd w:fill="auto" w:val="clear"/>
          <w:vertAlign w:val="baseline"/>
          <w:rtl w:val="0"/>
        </w:rPr>
        <w:t xml:space="preserve">Passive monitoring (primary): </w:t>
      </w: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Phone carried in pocket by day, optionally placed under the pillow at night. Background services sample the accelerometer and gyroscope at 50 Hz, extracting biomarkers: tremor spectral power, gait cadence, step regularity, freezing-of-gait events, sit-to-stand frequency, and nocturnal movement patterns.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both"/>
        <w:rPr/>
      </w:pPr>
      <w:r w:rsidDel="00000000" w:rsidR="00000000" w:rsidRPr="00000000">
        <w:rPr>
          <w:rFonts w:ascii="Arial" w:cs="Arial" w:eastAsia="Arial" w:hAnsi="Arial"/>
          <w:b w:val="1"/>
          <w:bCs w:val="1"/>
          <w:i w:val="0"/>
          <w:iCs w:val="0"/>
          <w:smallCaps w:val="0"/>
          <w:strike w:val="0"/>
          <w:color w:val="1a1a1a"/>
          <w:sz w:val="18"/>
          <w:szCs w:val="18"/>
          <w:u w:val="none"/>
          <w:shd w:fill="auto" w:val="clear"/>
          <w:vertAlign w:val="baseline"/>
          <w:rtl w:val="0"/>
        </w:rPr>
        <w:t xml:space="preserve">Active tests (optional, caregiver-facilitated): </w:t>
      </w: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Brief tasks triggered when a caregiver or nurse is present: sustained tremor hold, timed finger-tap, short walking pass. Augment passive data with MDS-UPDRS-aligned assessments.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both"/>
        <w:rPr/>
      </w:pPr>
      <w:r w:rsidDel="00000000" w:rsidR="00000000" w:rsidRPr="00000000">
        <w:rPr>
          <w:rFonts w:ascii="Arial" w:cs="Arial" w:eastAsia="Arial" w:hAnsi="Arial"/>
          <w:b w:val="1"/>
          <w:bCs w:val="1"/>
          <w:i w:val="0"/>
          <w:iCs w:val="0"/>
          <w:smallCaps w:val="0"/>
          <w:strike w:val="0"/>
          <w:color w:val="1a1a1a"/>
          <w:sz w:val="18"/>
          <w:szCs w:val="18"/>
          <w:u w:val="none"/>
          <w:shd w:fill="auto" w:val="clear"/>
          <w:vertAlign w:val="baseline"/>
          <w:rtl w:val="0"/>
        </w:rPr>
        <w:t xml:space="preserve">AI Layer 1 — ON/OFF classifier: </w:t>
      </w: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An ML model trained on public PD accelerometry datasets (Levodopa Response Study, mPower) classifies day windows as medication ON or OFF, producing a wearing-off timeline that directly informs titration decisions.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both"/>
        <w:rPr/>
      </w:pPr>
      <w:r w:rsidDel="00000000" w:rsidR="00000000" w:rsidRPr="00000000">
        <w:rPr>
          <w:rFonts w:ascii="Arial" w:cs="Arial" w:eastAsia="Arial" w:hAnsi="Arial"/>
          <w:b w:val="1"/>
          <w:bCs w:val="1"/>
          <w:i w:val="0"/>
          <w:iCs w:val="0"/>
          <w:smallCaps w:val="0"/>
          <w:strike w:val="0"/>
          <w:color w:val="1a1a1a"/>
          <w:sz w:val="18"/>
          <w:szCs w:val="18"/>
          <w:u w:val="none"/>
          <w:shd w:fill="auto" w:val="clear"/>
          <w:vertAlign w:val="baseline"/>
          <w:rtl w:val="0"/>
        </w:rPr>
        <w:t xml:space="preserve">AI Layer 2 — LLM report generation: </w:t>
      </w: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De-identified trend data is sent to an LLM API (Gemini or open-source), generating a concise weekly clinical narrative with flagged events and suggested titration discussion points — readable in under two minutes. Patient identity is redacted before leaving the device.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both"/>
        <w:rPr/>
      </w:pPr>
      <w:r w:rsidDel="00000000" w:rsidR="00000000" w:rsidRPr="00000000">
        <w:rPr>
          <w:rFonts w:ascii="Arial" w:cs="Arial" w:eastAsia="Arial" w:hAnsi="Arial"/>
          <w:b w:val="1"/>
          <w:bCs w:val="1"/>
          <w:i w:val="0"/>
          <w:iCs w:val="0"/>
          <w:smallCaps w:val="0"/>
          <w:strike w:val="0"/>
          <w:color w:val="1a1a1a"/>
          <w:sz w:val="18"/>
          <w:szCs w:val="18"/>
          <w:u w:val="none"/>
          <w:shd w:fill="auto" w:val="clear"/>
          <w:vertAlign w:val="baseline"/>
          <w:rtl w:val="0"/>
        </w:rPr>
        <w:t xml:space="preserve">Three user roles: </w:t>
      </w: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Patient (passive); Caregiver/nurse (setup, optional tests, wellness summary); Neurologist (clinical report).</w:t>
      </w:r>
      <w:r w:rsidDel="00000000" w:rsidR="00000000" w:rsidRPr="00000000">
        <w:rPr>
          <w:rtl w:val="0"/>
        </w:rPr>
      </w:r>
    </w:p>
    <w:p w:rsidR="00000000" w:rsidDel="00000000" w:rsidP="00000000" w:rsidRDefault="00000000" w:rsidRPr="00000000" w14:paraId="0000001F">
      <w:pPr>
        <w:spacing w:after="40" w:before="40" w:lineRule="auto"/>
        <w:jc w:val="both"/>
        <w:rPr/>
      </w:pPr>
      <w:r w:rsidDel="00000000" w:rsidR="00000000" w:rsidRPr="00000000">
        <w:rPr>
          <w:rtl w:val="0"/>
        </w:rPr>
      </w:r>
    </w:p>
    <w:p w:rsidR="00000000" w:rsidDel="00000000" w:rsidP="00000000" w:rsidRDefault="00000000" w:rsidRPr="00000000" w14:paraId="00000020">
      <w:pPr>
        <w:spacing w:after="40" w:before="40" w:lineRule="auto"/>
        <w:jc w:val="both"/>
        <w:rPr/>
      </w:pPr>
      <w:r w:rsidDel="00000000" w:rsidR="00000000" w:rsidRPr="00000000">
        <w:rPr>
          <w:rFonts w:ascii="Arial" w:cs="Arial" w:eastAsia="Arial" w:hAnsi="Arial"/>
          <w:color w:val="444444"/>
          <w:sz w:val="18"/>
          <w:szCs w:val="18"/>
          <w:rtl w:val="0"/>
        </w:rPr>
        <w:t xml:space="preserve">Hackathon scope: one phone, public PD dataset or simulated IMU data, pre-trained classifier, LLM-generated report. No proprietary hardware or patient recruitment required.</w:t>
      </w:r>
      <w:r w:rsidDel="00000000" w:rsidR="00000000" w:rsidRPr="00000000">
        <w:rPr>
          <w:rtl w:val="0"/>
        </w:rPr>
      </w:r>
    </w:p>
    <w:p w:rsidR="00000000" w:rsidDel="00000000" w:rsidP="00000000" w:rsidRDefault="00000000" w:rsidRPr="00000000" w14:paraId="00000021">
      <w:pPr>
        <w:spacing w:after="40" w:before="40" w:lineRule="auto"/>
        <w:jc w:val="both"/>
        <w:rPr/>
      </w:pPr>
      <w:r w:rsidDel="00000000" w:rsidR="00000000" w:rsidRPr="00000000">
        <w:rPr>
          <w:rtl w:val="0"/>
        </w:rPr>
      </w:r>
    </w:p>
    <w:p w:rsidR="00000000" w:rsidDel="00000000" w:rsidP="00000000" w:rsidRDefault="00000000" w:rsidRPr="00000000" w14:paraId="00000022">
      <w:pPr>
        <w:pBdr>
          <w:bottom w:color="1a6b55" w:space="3" w:sz="4" w:val="single"/>
        </w:pBdr>
        <w:spacing w:after="100" w:before="240" w:lineRule="auto"/>
        <w:jc w:val="both"/>
        <w:rPr/>
      </w:pPr>
      <w:r w:rsidDel="00000000" w:rsidR="00000000" w:rsidRPr="00000000">
        <w:rPr>
          <w:rFonts w:ascii="Arial" w:cs="Arial" w:eastAsia="Arial" w:hAnsi="Arial"/>
          <w:b w:val="1"/>
          <w:bCs w:val="1"/>
          <w:color w:val="1a6b55"/>
          <w:sz w:val="24"/>
          <w:szCs w:val="24"/>
          <w:rtl w:val="0"/>
        </w:rPr>
        <w:t xml:space="preserve">Special / Innovative Features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both"/>
        <w:rPr/>
      </w:pPr>
      <w:r w:rsidDel="00000000" w:rsidR="00000000" w:rsidRPr="00000000">
        <w:rPr>
          <w:rFonts w:ascii="Arial" w:cs="Arial" w:eastAsia="Arial" w:hAnsi="Arial"/>
          <w:b w:val="1"/>
          <w:bCs w:val="1"/>
          <w:i w:val="0"/>
          <w:iCs w:val="0"/>
          <w:smallCaps w:val="0"/>
          <w:strike w:val="0"/>
          <w:color w:val="1a1a1a"/>
          <w:sz w:val="18"/>
          <w:szCs w:val="18"/>
          <w:u w:val="none"/>
          <w:shd w:fill="auto" w:val="clear"/>
          <w:vertAlign w:val="baseline"/>
          <w:rtl w:val="0"/>
        </w:rPr>
        <w:t xml:space="preserve">Passive-first, caregiver-operated: </w:t>
      </w: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Serves advanced-stage patients that all incumbents structurally exclude — those who cannot wear a smartwatch or engage daily with an app.</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both"/>
        <w:rPr/>
      </w:pPr>
      <w:r w:rsidDel="00000000" w:rsidR="00000000" w:rsidRPr="00000000">
        <w:rPr>
          <w:rFonts w:ascii="Arial" w:cs="Arial" w:eastAsia="Arial" w:hAnsi="Arial"/>
          <w:b w:val="1"/>
          <w:bCs w:val="1"/>
          <w:i w:val="0"/>
          <w:iCs w:val="0"/>
          <w:smallCaps w:val="0"/>
          <w:strike w:val="0"/>
          <w:color w:val="1a1a1a"/>
          <w:sz w:val="18"/>
          <w:szCs w:val="18"/>
          <w:u w:val="none"/>
          <w:shd w:fill="auto" w:val="clear"/>
          <w:vertAlign w:val="baseline"/>
          <w:rtl w:val="0"/>
        </w:rPr>
        <w:t xml:space="preserve">Wearing-off timeline: </w:t>
      </w: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The ON/OFF classifier directly answers the clinical question driving titration. No consumer tool currently provides this from phone IMU alone.</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both"/>
        <w:rPr/>
      </w:pPr>
      <w:r w:rsidDel="00000000" w:rsidR="00000000" w:rsidRPr="00000000">
        <w:rPr>
          <w:rFonts w:ascii="Arial" w:cs="Arial" w:eastAsia="Arial" w:hAnsi="Arial"/>
          <w:b w:val="1"/>
          <w:bCs w:val="1"/>
          <w:i w:val="0"/>
          <w:iCs w:val="0"/>
          <w:smallCaps w:val="0"/>
          <w:strike w:val="0"/>
          <w:color w:val="1a1a1a"/>
          <w:sz w:val="18"/>
          <w:szCs w:val="18"/>
          <w:u w:val="none"/>
          <w:shd w:fill="auto" w:val="clear"/>
          <w:vertAlign w:val="baseline"/>
          <w:rtl w:val="0"/>
        </w:rPr>
        <w:t xml:space="preserve">Family framing: </w:t>
      </w: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Tiered reports — clinical narrative for the neurologist, wellness summary for the caregiver — a design axis absent from all current FDA-approved PD devices.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both"/>
        <w:rPr/>
      </w:pPr>
      <w:r w:rsidDel="00000000" w:rsidR="00000000" w:rsidRPr="00000000">
        <w:rPr>
          <w:rFonts w:ascii="Arial" w:cs="Arial" w:eastAsia="Arial" w:hAnsi="Arial"/>
          <w:b w:val="1"/>
          <w:bCs w:val="1"/>
          <w:i w:val="0"/>
          <w:iCs w:val="0"/>
          <w:smallCaps w:val="0"/>
          <w:strike w:val="0"/>
          <w:color w:val="1a1a1a"/>
          <w:sz w:val="18"/>
          <w:szCs w:val="18"/>
          <w:u w:val="none"/>
          <w:shd w:fill="auto" w:val="clear"/>
          <w:vertAlign w:val="baseline"/>
          <w:rtl w:val="0"/>
        </w:rPr>
        <w:t xml:space="preserve">Android-first, LMIC-ready: </w:t>
      </w: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Runs on sub-$100 phones with offline buffering and multilingual UI, targeting geographies where specialist access is worst.</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both"/>
        <w:rPr/>
      </w:pPr>
      <w:r w:rsidDel="00000000" w:rsidR="00000000" w:rsidRPr="00000000">
        <w:rPr>
          <w:rFonts w:ascii="Arial" w:cs="Arial" w:eastAsia="Arial" w:hAnsi="Arial"/>
          <w:b w:val="1"/>
          <w:bCs w:val="1"/>
          <w:i w:val="0"/>
          <w:iCs w:val="0"/>
          <w:smallCaps w:val="0"/>
          <w:strike w:val="0"/>
          <w:color w:val="1a1a1a"/>
          <w:sz w:val="18"/>
          <w:szCs w:val="18"/>
          <w:u w:val="none"/>
          <w:shd w:fill="auto" w:val="clear"/>
          <w:vertAlign w:val="baseline"/>
          <w:rtl w:val="0"/>
        </w:rPr>
        <w:t xml:space="preserve">Dual AI architecture: </w:t>
      </w: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ML classifier for time-series pattern recognition + LLM for clinical synthesis. Together they cover technical depth and clinical usability.</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both"/>
        <w:rPr/>
      </w:pPr>
      <w:r w:rsidDel="00000000" w:rsidR="00000000" w:rsidRPr="00000000">
        <w:rPr>
          <w:rFonts w:ascii="Arial" w:cs="Arial" w:eastAsia="Arial" w:hAnsi="Arial"/>
          <w:b w:val="1"/>
          <w:bCs w:val="1"/>
          <w:i w:val="0"/>
          <w:iCs w:val="0"/>
          <w:smallCaps w:val="0"/>
          <w:strike w:val="0"/>
          <w:color w:val="1a1a1a"/>
          <w:sz w:val="18"/>
          <w:szCs w:val="18"/>
          <w:u w:val="none"/>
          <w:shd w:fill="auto" w:val="clear"/>
          <w:vertAlign w:val="baseline"/>
          <w:rtl w:val="0"/>
        </w:rPr>
        <w:t xml:space="preserve">Privacy by design: </w:t>
      </w: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Only de-identified numerical trends leave the device. No video, no images, no identifiable data on external servers.</w:t>
      </w:r>
      <w:r w:rsidDel="00000000" w:rsidR="00000000" w:rsidRPr="00000000">
        <w:rPr>
          <w:rtl w:val="0"/>
        </w:rPr>
      </w:r>
    </w:p>
    <w:p w:rsidR="00000000" w:rsidDel="00000000" w:rsidP="00000000" w:rsidRDefault="00000000" w:rsidRPr="00000000" w14:paraId="00000029">
      <w:pPr>
        <w:spacing w:after="40" w:before="40" w:lineRule="auto"/>
        <w:jc w:val="both"/>
        <w:rPr/>
      </w:pPr>
      <w:r w:rsidDel="00000000" w:rsidR="00000000" w:rsidRPr="00000000">
        <w:rPr>
          <w:rtl w:val="0"/>
        </w:rPr>
      </w:r>
    </w:p>
    <w:p w:rsidR="00000000" w:rsidDel="00000000" w:rsidP="00000000" w:rsidRDefault="00000000" w:rsidRPr="00000000" w14:paraId="0000002A">
      <w:pPr>
        <w:pBdr>
          <w:bottom w:color="1a6b55" w:space="3" w:sz="4" w:val="single"/>
        </w:pBdr>
        <w:spacing w:after="100" w:before="240" w:lineRule="auto"/>
        <w:jc w:val="both"/>
        <w:rPr/>
      </w:pPr>
      <w:r w:rsidDel="00000000" w:rsidR="00000000" w:rsidRPr="00000000">
        <w:rPr>
          <w:rFonts w:ascii="Arial" w:cs="Arial" w:eastAsia="Arial" w:hAnsi="Arial"/>
          <w:b w:val="1"/>
          <w:bCs w:val="1"/>
          <w:color w:val="1a6b55"/>
          <w:sz w:val="24"/>
          <w:szCs w:val="24"/>
          <w:rtl w:val="0"/>
        </w:rPr>
        <w:t xml:space="preserve">Expected Benefits / Impact</w:t>
      </w:r>
      <w:r w:rsidDel="00000000" w:rsidR="00000000" w:rsidRPr="00000000">
        <w:rPr>
          <w:rtl w:val="0"/>
        </w:rPr>
      </w:r>
    </w:p>
    <w:p w:rsidR="00000000" w:rsidDel="00000000" w:rsidP="00000000" w:rsidRDefault="00000000" w:rsidRPr="00000000" w14:paraId="0000002B">
      <w:pPr>
        <w:spacing w:after="60" w:before="140" w:lineRule="auto"/>
        <w:jc w:val="both"/>
        <w:rPr/>
      </w:pPr>
      <w:r w:rsidDel="00000000" w:rsidR="00000000" w:rsidRPr="00000000">
        <w:rPr>
          <w:rFonts w:ascii="Arial" w:cs="Arial" w:eastAsia="Arial" w:hAnsi="Arial"/>
          <w:b w:val="1"/>
          <w:bCs w:val="1"/>
          <w:color w:val="1a1a1a"/>
          <w:sz w:val="20"/>
          <w:szCs w:val="20"/>
          <w:rtl w:val="0"/>
        </w:rPr>
        <w:t xml:space="preserve">Short-term</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both"/>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Objective between-visit data enabling evidence-based medication titration.</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both"/>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Earlier detection of wearing-off before falls or ER visits.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both"/>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Reduced caregiver burden through passive, structured monitoring.</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both"/>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Access extended to patients excluded from all existing tools.</w:t>
      </w:r>
      <w:r w:rsidDel="00000000" w:rsidR="00000000" w:rsidRPr="00000000">
        <w:rPr>
          <w:rtl w:val="0"/>
        </w:rPr>
      </w:r>
    </w:p>
    <w:p w:rsidR="00000000" w:rsidDel="00000000" w:rsidP="00000000" w:rsidRDefault="00000000" w:rsidRPr="00000000" w14:paraId="00000030">
      <w:pPr>
        <w:spacing w:after="40" w:before="40" w:lineRule="auto"/>
        <w:jc w:val="both"/>
        <w:rPr/>
      </w:pPr>
      <w:r w:rsidDel="00000000" w:rsidR="00000000" w:rsidRPr="00000000">
        <w:rPr>
          <w:rtl w:val="0"/>
        </w:rPr>
      </w:r>
    </w:p>
    <w:p w:rsidR="00000000" w:rsidDel="00000000" w:rsidP="00000000" w:rsidRDefault="00000000" w:rsidRPr="00000000" w14:paraId="00000031">
      <w:pPr>
        <w:spacing w:after="60" w:before="140" w:lineRule="auto"/>
        <w:jc w:val="both"/>
        <w:rPr/>
      </w:pPr>
      <w:r w:rsidDel="00000000" w:rsidR="00000000" w:rsidRPr="00000000">
        <w:rPr>
          <w:rFonts w:ascii="Arial" w:cs="Arial" w:eastAsia="Arial" w:hAnsi="Arial"/>
          <w:b w:val="1"/>
          <w:bCs w:val="1"/>
          <w:color w:val="1a1a1a"/>
          <w:sz w:val="20"/>
          <w:szCs w:val="20"/>
          <w:rtl w:val="0"/>
        </w:rPr>
        <w:t xml:space="preserve">Long-term</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both"/>
        <w:rPr/>
      </w:pPr>
      <w:r w:rsidDel="00000000" w:rsidR="00000000" w:rsidRPr="00000000">
        <w:rPr>
          <w:rFonts w:ascii="Arial" w:cs="Arial" w:eastAsia="Arial" w:hAnsi="Arial"/>
          <w:b w:val="1"/>
          <w:bCs w:val="1"/>
          <w:i w:val="0"/>
          <w:iCs w:val="0"/>
          <w:smallCaps w:val="0"/>
          <w:strike w:val="0"/>
          <w:color w:val="1a1a1a"/>
          <w:sz w:val="18"/>
          <w:szCs w:val="18"/>
          <w:u w:val="none"/>
          <w:shd w:fill="auto" w:val="clear"/>
          <w:vertAlign w:val="baseline"/>
          <w:rtl w:val="0"/>
        </w:rPr>
        <w:t xml:space="preserve">System shift: </w:t>
      </w: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From episodic clinic snapshots to continuous objective monitoring — as in cardiology and diabetes care.</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both"/>
        <w:rPr/>
      </w:pPr>
      <w:r w:rsidDel="00000000" w:rsidR="00000000" w:rsidRPr="00000000">
        <w:rPr>
          <w:rFonts w:ascii="Arial" w:cs="Arial" w:eastAsia="Arial" w:hAnsi="Arial"/>
          <w:b w:val="1"/>
          <w:bCs w:val="1"/>
          <w:i w:val="0"/>
          <w:iCs w:val="0"/>
          <w:smallCaps w:val="0"/>
          <w:strike w:val="0"/>
          <w:color w:val="1a1a1a"/>
          <w:sz w:val="18"/>
          <w:szCs w:val="18"/>
          <w:u w:val="none"/>
          <w:shd w:fill="auto" w:val="clear"/>
          <w:vertAlign w:val="baseline"/>
          <w:rtl w:val="0"/>
        </w:rPr>
        <w:t xml:space="preserve">Cost reduction: </w:t>
      </w: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Fewer preventable hospitalisations and delayed nursing-home placement.</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both"/>
        <w:rPr/>
      </w:pPr>
      <w:r w:rsidDel="00000000" w:rsidR="00000000" w:rsidRPr="00000000">
        <w:rPr>
          <w:rFonts w:ascii="Arial" w:cs="Arial" w:eastAsia="Arial" w:hAnsi="Arial"/>
          <w:b w:val="1"/>
          <w:bCs w:val="1"/>
          <w:i w:val="0"/>
          <w:iCs w:val="0"/>
          <w:smallCaps w:val="0"/>
          <w:strike w:val="0"/>
          <w:color w:val="1a1a1a"/>
          <w:sz w:val="18"/>
          <w:szCs w:val="18"/>
          <w:u w:val="none"/>
          <w:shd w:fill="auto" w:val="clear"/>
          <w:vertAlign w:val="baseline"/>
          <w:rtl w:val="0"/>
        </w:rPr>
        <w:t xml:space="preserve">Equity: </w:t>
      </w: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Specialist capacity extended to rural and LMIC patients via async remote monitoring.</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both"/>
        <w:rPr/>
      </w:pPr>
      <w:r w:rsidDel="00000000" w:rsidR="00000000" w:rsidRPr="00000000">
        <w:rPr>
          <w:rFonts w:ascii="Arial" w:cs="Arial" w:eastAsia="Arial" w:hAnsi="Arial"/>
          <w:b w:val="1"/>
          <w:bCs w:val="1"/>
          <w:i w:val="0"/>
          <w:iCs w:val="0"/>
          <w:smallCaps w:val="0"/>
          <w:strike w:val="0"/>
          <w:color w:val="1a1a1a"/>
          <w:sz w:val="18"/>
          <w:szCs w:val="18"/>
          <w:u w:val="none"/>
          <w:shd w:fill="auto" w:val="clear"/>
          <w:vertAlign w:val="baseline"/>
          <w:rtl w:val="0"/>
        </w:rPr>
        <w:t xml:space="preserve">Expandable platform: </w:t>
      </w: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Sensor and AI infrastructure transfers directly to ALS, Huntington's, and atypical parkinsonisms.</w:t>
      </w:r>
      <w:r w:rsidDel="00000000" w:rsidR="00000000" w:rsidRPr="00000000">
        <w:rPr>
          <w:rtl w:val="0"/>
        </w:rPr>
      </w:r>
    </w:p>
    <w:p w:rsidR="00000000" w:rsidDel="00000000" w:rsidP="00000000" w:rsidRDefault="00000000" w:rsidRPr="00000000" w14:paraId="00000036">
      <w:pPr>
        <w:spacing w:after="40" w:before="40" w:lineRule="auto"/>
        <w:jc w:val="both"/>
        <w:rPr/>
      </w:pPr>
      <w:r w:rsidDel="00000000" w:rsidR="00000000" w:rsidRPr="00000000">
        <w:rPr>
          <w:rtl w:val="0"/>
        </w:rPr>
      </w:r>
    </w:p>
    <w:p w:rsidR="00000000" w:rsidDel="00000000" w:rsidP="00000000" w:rsidRDefault="00000000" w:rsidRPr="00000000" w14:paraId="00000037">
      <w:pPr>
        <w:pBdr>
          <w:bottom w:color="1a6b55" w:space="3" w:sz="4" w:val="single"/>
        </w:pBdr>
        <w:spacing w:after="100" w:before="240" w:lineRule="auto"/>
        <w:jc w:val="both"/>
        <w:rPr/>
      </w:pPr>
      <w:r w:rsidDel="00000000" w:rsidR="00000000" w:rsidRPr="00000000">
        <w:rPr>
          <w:rFonts w:ascii="Arial" w:cs="Arial" w:eastAsia="Arial" w:hAnsi="Arial"/>
          <w:b w:val="1"/>
          <w:bCs w:val="1"/>
          <w:color w:val="1a6b55"/>
          <w:sz w:val="24"/>
          <w:szCs w:val="24"/>
          <w:rtl w:val="0"/>
        </w:rPr>
        <w:t xml:space="preserve">Feasibility &amp; Implementation</w:t>
      </w:r>
      <w:r w:rsidDel="00000000" w:rsidR="00000000" w:rsidRPr="00000000">
        <w:rPr>
          <w:rtl w:val="0"/>
        </w:rPr>
      </w:r>
    </w:p>
    <w:p w:rsidR="00000000" w:rsidDel="00000000" w:rsidP="00000000" w:rsidRDefault="00000000" w:rsidRPr="00000000" w14:paraId="00000038">
      <w:pPr>
        <w:spacing w:after="60" w:before="140" w:lineRule="auto"/>
        <w:jc w:val="both"/>
        <w:rPr/>
      </w:pPr>
      <w:r w:rsidDel="00000000" w:rsidR="00000000" w:rsidRPr="00000000">
        <w:rPr>
          <w:rFonts w:ascii="Arial" w:cs="Arial" w:eastAsia="Arial" w:hAnsi="Arial"/>
          <w:b w:val="1"/>
          <w:bCs w:val="1"/>
          <w:color w:val="1a1a1a"/>
          <w:sz w:val="20"/>
          <w:szCs w:val="20"/>
          <w:rtl w:val="0"/>
        </w:rPr>
        <w:t xml:space="preserve">Roadmap</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both"/>
        <w:rPr/>
      </w:pPr>
      <w:r w:rsidDel="00000000" w:rsidR="00000000" w:rsidRPr="00000000">
        <w:rPr>
          <w:rFonts w:ascii="Arial" w:cs="Arial" w:eastAsia="Arial" w:hAnsi="Arial"/>
          <w:b w:val="1"/>
          <w:bCs w:val="1"/>
          <w:i w:val="0"/>
          <w:iCs w:val="0"/>
          <w:smallCaps w:val="0"/>
          <w:strike w:val="0"/>
          <w:color w:val="1a1a1a"/>
          <w:sz w:val="18"/>
          <w:szCs w:val="18"/>
          <w:u w:val="none"/>
          <w:shd w:fill="auto" w:val="clear"/>
          <w:vertAlign w:val="baseline"/>
          <w:rtl w:val="0"/>
        </w:rPr>
        <w:t xml:space="preserve">Phase 1 — Hackathon: </w:t>
      </w: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Working demo: phone + public dataset + ON/OFF classifier + LLM report.</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both"/>
        <w:rPr/>
      </w:pPr>
      <w:r w:rsidDel="00000000" w:rsidR="00000000" w:rsidRPr="00000000">
        <w:rPr>
          <w:rFonts w:ascii="Arial" w:cs="Arial" w:eastAsia="Arial" w:hAnsi="Arial"/>
          <w:b w:val="1"/>
          <w:bCs w:val="1"/>
          <w:i w:val="0"/>
          <w:iCs w:val="0"/>
          <w:smallCaps w:val="0"/>
          <w:strike w:val="0"/>
          <w:color w:val="1a1a1a"/>
          <w:sz w:val="18"/>
          <w:szCs w:val="18"/>
          <w:u w:val="none"/>
          <w:shd w:fill="auto" w:val="clear"/>
          <w:vertAlign w:val="baseline"/>
          <w:rtl w:val="0"/>
        </w:rPr>
        <w:t xml:space="preserve">Phase 2 — Months 1–3: </w:t>
      </w: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Clinical validation, 20–30 patients at one neurology clinic (e.g. AUB), app features vs. MDS-UPDRS. IRB required.</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both"/>
        <w:rPr/>
      </w:pPr>
      <w:r w:rsidDel="00000000" w:rsidR="00000000" w:rsidRPr="00000000">
        <w:rPr>
          <w:rFonts w:ascii="Arial" w:cs="Arial" w:eastAsia="Arial" w:hAnsi="Arial"/>
          <w:b w:val="1"/>
          <w:bCs w:val="1"/>
          <w:i w:val="0"/>
          <w:iCs w:val="0"/>
          <w:smallCaps w:val="0"/>
          <w:strike w:val="0"/>
          <w:color w:val="1a1a1a"/>
          <w:sz w:val="18"/>
          <w:szCs w:val="18"/>
          <w:u w:val="none"/>
          <w:shd w:fill="auto" w:val="clear"/>
          <w:vertAlign w:val="baseline"/>
          <w:rtl w:val="0"/>
        </w:rPr>
        <w:t xml:space="preserve">Phase 3 — Months 3–12: </w:t>
      </w: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LMIC pilot via HSIL hub partner, 200+ patients, peer-reviewed publication.</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both"/>
        <w:rPr/>
      </w:pPr>
      <w:r w:rsidDel="00000000" w:rsidR="00000000" w:rsidRPr="00000000">
        <w:rPr>
          <w:rFonts w:ascii="Arial" w:cs="Arial" w:eastAsia="Arial" w:hAnsi="Arial"/>
          <w:b w:val="1"/>
          <w:bCs w:val="1"/>
          <w:i w:val="0"/>
          <w:iCs w:val="0"/>
          <w:smallCaps w:val="0"/>
          <w:strike w:val="0"/>
          <w:color w:val="1a1a1a"/>
          <w:sz w:val="18"/>
          <w:szCs w:val="18"/>
          <w:u w:val="none"/>
          <w:shd w:fill="auto" w:val="clear"/>
          <w:vertAlign w:val="baseline"/>
          <w:rtl w:val="0"/>
        </w:rPr>
        <w:t xml:space="preserve">Phase 4 — Year 2: </w:t>
      </w: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SaMD regulatory pathway, pharma real-world evidence partnerships, RPM reimbursement.</w:t>
      </w:r>
      <w:r w:rsidDel="00000000" w:rsidR="00000000" w:rsidRPr="00000000">
        <w:rPr>
          <w:rtl w:val="0"/>
        </w:rPr>
      </w:r>
    </w:p>
    <w:p w:rsidR="00000000" w:rsidDel="00000000" w:rsidP="00000000" w:rsidRDefault="00000000" w:rsidRPr="00000000" w14:paraId="0000003D">
      <w:pPr>
        <w:spacing w:after="40" w:before="40" w:lineRule="auto"/>
        <w:jc w:val="both"/>
        <w:rPr/>
      </w:pPr>
      <w:r w:rsidDel="00000000" w:rsidR="00000000" w:rsidRPr="00000000">
        <w:rPr>
          <w:rtl w:val="0"/>
        </w:rPr>
      </w:r>
    </w:p>
    <w:p w:rsidR="00000000" w:rsidDel="00000000" w:rsidP="00000000" w:rsidRDefault="00000000" w:rsidRPr="00000000" w14:paraId="0000003E">
      <w:pPr>
        <w:spacing w:after="60" w:before="140" w:lineRule="auto"/>
        <w:jc w:val="both"/>
        <w:rPr/>
      </w:pPr>
      <w:r w:rsidDel="00000000" w:rsidR="00000000" w:rsidRPr="00000000">
        <w:rPr>
          <w:rFonts w:ascii="Arial" w:cs="Arial" w:eastAsia="Arial" w:hAnsi="Arial"/>
          <w:b w:val="1"/>
          <w:bCs w:val="1"/>
          <w:color w:val="1a1a1a"/>
          <w:sz w:val="20"/>
          <w:szCs w:val="20"/>
          <w:rtl w:val="0"/>
        </w:rPr>
        <w:t xml:space="preserve">Resources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both"/>
        <w:rPr/>
      </w:pPr>
      <w:r w:rsidDel="00000000" w:rsidR="00000000" w:rsidRPr="00000000">
        <w:rPr>
          <w:rFonts w:ascii="Arial" w:cs="Arial" w:eastAsia="Arial" w:hAnsi="Arial"/>
          <w:b w:val="1"/>
          <w:bCs w:val="1"/>
          <w:i w:val="0"/>
          <w:iCs w:val="0"/>
          <w:smallCaps w:val="0"/>
          <w:strike w:val="0"/>
          <w:color w:val="1a1a1a"/>
          <w:sz w:val="18"/>
          <w:szCs w:val="18"/>
          <w:u w:val="none"/>
          <w:shd w:fill="auto" w:val="clear"/>
          <w:vertAlign w:val="baseline"/>
          <w:rtl w:val="0"/>
        </w:rPr>
        <w:t xml:space="preserve">Hackathon: </w:t>
      </w: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Android dev environment, LLM API credits, public PD accelerometry dataset.</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both"/>
        <w:rPr/>
      </w:pPr>
      <w:r w:rsidDel="00000000" w:rsidR="00000000" w:rsidRPr="00000000">
        <w:rPr>
          <w:rFonts w:ascii="Arial" w:cs="Arial" w:eastAsia="Arial" w:hAnsi="Arial"/>
          <w:b w:val="1"/>
          <w:bCs w:val="1"/>
          <w:i w:val="0"/>
          <w:iCs w:val="0"/>
          <w:smallCaps w:val="0"/>
          <w:strike w:val="0"/>
          <w:color w:val="1a1a1a"/>
          <w:sz w:val="18"/>
          <w:szCs w:val="18"/>
          <w:u w:val="none"/>
          <w:shd w:fill="auto" w:val="clear"/>
          <w:vertAlign w:val="baseline"/>
          <w:rtl w:val="0"/>
        </w:rPr>
        <w:t xml:space="preserve">Post-hackathon: </w:t>
      </w: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IRB approval, clinic partnership, ~$50K for six-month validation study.</w:t>
      </w:r>
      <w:r w:rsidDel="00000000" w:rsidR="00000000" w:rsidRPr="00000000">
        <w:rPr>
          <w:rtl w:val="0"/>
        </w:rPr>
      </w:r>
    </w:p>
    <w:p w:rsidR="00000000" w:rsidDel="00000000" w:rsidP="00000000" w:rsidRDefault="00000000" w:rsidRPr="00000000" w14:paraId="00000041">
      <w:pPr>
        <w:spacing w:after="40" w:before="40" w:lineRule="auto"/>
        <w:jc w:val="both"/>
        <w:rPr/>
      </w:pPr>
      <w:r w:rsidDel="00000000" w:rsidR="00000000" w:rsidRPr="00000000">
        <w:rPr>
          <w:rtl w:val="0"/>
        </w:rPr>
      </w:r>
    </w:p>
    <w:p w:rsidR="00000000" w:rsidDel="00000000" w:rsidP="00000000" w:rsidRDefault="00000000" w:rsidRPr="00000000" w14:paraId="00000042">
      <w:pPr>
        <w:spacing w:after="60" w:before="140" w:lineRule="auto"/>
        <w:jc w:val="both"/>
        <w:rPr/>
      </w:pPr>
      <w:r w:rsidDel="00000000" w:rsidR="00000000" w:rsidRPr="00000000">
        <w:rPr>
          <w:rFonts w:ascii="Arial" w:cs="Arial" w:eastAsia="Arial" w:hAnsi="Arial"/>
          <w:b w:val="1"/>
          <w:bCs w:val="1"/>
          <w:color w:val="1a1a1a"/>
          <w:sz w:val="20"/>
          <w:szCs w:val="20"/>
          <w:rtl w:val="0"/>
        </w:rPr>
        <w:t xml:space="preserve">Risks &amp; Mitigations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both"/>
        <w:rPr/>
      </w:pPr>
      <w:r w:rsidDel="00000000" w:rsidR="00000000" w:rsidRPr="00000000">
        <w:rPr>
          <w:rFonts w:ascii="Arial" w:cs="Arial" w:eastAsia="Arial" w:hAnsi="Arial"/>
          <w:b w:val="1"/>
          <w:bCs w:val="1"/>
          <w:i w:val="0"/>
          <w:iCs w:val="0"/>
          <w:smallCaps w:val="0"/>
          <w:strike w:val="0"/>
          <w:color w:val="1a1a1a"/>
          <w:sz w:val="18"/>
          <w:szCs w:val="18"/>
          <w:u w:val="none"/>
          <w:shd w:fill="auto" w:val="clear"/>
          <w:vertAlign w:val="baseline"/>
          <w:rtl w:val="0"/>
        </w:rPr>
        <w:t xml:space="preserve">Clinical validation: </w:t>
      </w: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Early specialist partnership; use of literature-validated biomarker targets.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both"/>
        <w:rPr/>
      </w:pPr>
      <w:r w:rsidDel="00000000" w:rsidR="00000000" w:rsidRPr="00000000">
        <w:rPr>
          <w:rFonts w:ascii="Arial" w:cs="Arial" w:eastAsia="Arial" w:hAnsi="Arial"/>
          <w:b w:val="1"/>
          <w:bCs w:val="1"/>
          <w:i w:val="0"/>
          <w:iCs w:val="0"/>
          <w:smallCaps w:val="0"/>
          <w:strike w:val="0"/>
          <w:color w:val="1a1a1a"/>
          <w:sz w:val="18"/>
          <w:szCs w:val="18"/>
          <w:u w:val="none"/>
          <w:shd w:fill="auto" w:val="clear"/>
          <w:vertAlign w:val="baseline"/>
          <w:rtl w:val="0"/>
        </w:rPr>
        <w:t xml:space="preserve">IMU accuracy vs. wearables: </w:t>
      </w: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Focus on robust population-level patterns; flag data quality in reports.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both"/>
        <w:rPr/>
      </w:pPr>
      <w:r w:rsidDel="00000000" w:rsidR="00000000" w:rsidRPr="00000000">
        <w:rPr>
          <w:rFonts w:ascii="Arial" w:cs="Arial" w:eastAsia="Arial" w:hAnsi="Arial"/>
          <w:b w:val="1"/>
          <w:bCs w:val="1"/>
          <w:i w:val="0"/>
          <w:iCs w:val="0"/>
          <w:smallCaps w:val="0"/>
          <w:strike w:val="0"/>
          <w:color w:val="1a1a1a"/>
          <w:sz w:val="18"/>
          <w:szCs w:val="18"/>
          <w:u w:val="none"/>
          <w:shd w:fill="auto" w:val="clear"/>
          <w:vertAlign w:val="baseline"/>
          <w:rtl w:val="0"/>
        </w:rPr>
        <w:t xml:space="preserve">Regulatory timeline: </w:t>
      </w: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Clinical decision-support framing defers SaMD classification to Phase 4.</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both"/>
        <w:rPr/>
      </w:pPr>
      <w:r w:rsidDel="00000000" w:rsidR="00000000" w:rsidRPr="00000000">
        <w:rPr>
          <w:rFonts w:ascii="Arial" w:cs="Arial" w:eastAsia="Arial" w:hAnsi="Arial"/>
          <w:b w:val="1"/>
          <w:bCs w:val="1"/>
          <w:i w:val="0"/>
          <w:iCs w:val="0"/>
          <w:smallCaps w:val="0"/>
          <w:strike w:val="0"/>
          <w:color w:val="1a1a1a"/>
          <w:sz w:val="18"/>
          <w:szCs w:val="18"/>
          <w:u w:val="none"/>
          <w:shd w:fill="auto" w:val="clear"/>
          <w:vertAlign w:val="baseline"/>
          <w:rtl w:val="0"/>
        </w:rPr>
        <w:t xml:space="preserve">Caregiver adherence: </w:t>
      </w: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Passive mode requires no daily action; active tests are optional and brief.</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both"/>
        <w:rPr/>
      </w:pPr>
      <w:r w:rsidDel="00000000" w:rsidR="00000000" w:rsidRPr="00000000">
        <w:rPr>
          <w:rFonts w:ascii="Arial" w:cs="Arial" w:eastAsia="Arial" w:hAnsi="Arial"/>
          <w:b w:val="1"/>
          <w:bCs w:val="1"/>
          <w:i w:val="0"/>
          <w:iCs w:val="0"/>
          <w:smallCaps w:val="0"/>
          <w:strike w:val="0"/>
          <w:color w:val="1a1a1a"/>
          <w:sz w:val="18"/>
          <w:szCs w:val="18"/>
          <w:u w:val="none"/>
          <w:shd w:fill="auto" w:val="clear"/>
          <w:vertAlign w:val="baseline"/>
          <w:rtl w:val="0"/>
        </w:rPr>
        <w:t xml:space="preserve">Competition: </w:t>
      </w: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Incumbents cannot easily pivot to serve this population without redesigning their core architecture.</w:t>
      </w:r>
      <w:r w:rsidDel="00000000" w:rsidR="00000000" w:rsidRPr="00000000">
        <w:rPr>
          <w:rtl w:val="0"/>
        </w:rPr>
      </w:r>
    </w:p>
    <w:p w:rsidR="00000000" w:rsidDel="00000000" w:rsidP="00000000" w:rsidRDefault="00000000" w:rsidRPr="00000000" w14:paraId="00000048">
      <w:pPr>
        <w:spacing w:after="40" w:before="40" w:lineRule="auto"/>
        <w:rPr/>
      </w:pPr>
      <w:r w:rsidDel="00000000" w:rsidR="00000000" w:rsidRPr="00000000">
        <w:rPr>
          <w:rtl w:val="0"/>
        </w:rPr>
      </w:r>
    </w:p>
    <w:p w:rsidR="00000000" w:rsidDel="00000000" w:rsidP="00000000" w:rsidRDefault="00000000" w:rsidRPr="00000000" w14:paraId="00000049">
      <w:pPr>
        <w:spacing w:before="300" w:lineRule="auto"/>
        <w:jc w:val="center"/>
        <w:rPr/>
      </w:pPr>
      <w:r w:rsidDel="00000000" w:rsidR="00000000" w:rsidRPr="00000000">
        <w:rPr>
          <w:rFonts w:ascii="Arial" w:cs="Arial" w:eastAsia="Arial" w:hAnsi="Arial"/>
          <w:i w:val="1"/>
          <w:iCs w:val="1"/>
          <w:color w:val="aaaaaa"/>
          <w:sz w:val="16"/>
          <w:szCs w:val="16"/>
          <w:rtl w:val="0"/>
        </w:rPr>
        <w:t xml:space="preserve">Prepared for HSIL Hackathon – April 2026  |  Team Beirut 332</w:t>
      </w:r>
      <w:r w:rsidDel="00000000" w:rsidR="00000000" w:rsidRPr="00000000">
        <w:rPr>
          <w:rtl w:val="0"/>
        </w:rPr>
      </w:r>
    </w:p>
    <w:sectPr>
      <w:pgSz w:h="15840" w:w="12240" w:orient="portrait"/>
      <w:pgMar w:bottom="900" w:top="9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18"/>
      <w:szCs w:val="1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8"/>
      <w:szCs w:val="1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8"/>
      <w:szCs w:val="1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YctRnzjs87AG+xpeoFkvzfgKKQ==">CgMxLjA4AHIhMUhRMm5KWFBuS3drZEhBbWVqTko0QWY2YjRPbnVUY0Uw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