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5A272E91"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DF1D09" w:rsidRPr="00DF1D09">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54A5F136"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61FC7DA4"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252FB144"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7946D6D3"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4B65D4B3"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41F785E6"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2404FE3B" w:rsidR="007425B9" w:rsidRDefault="00C66044" w:rsidP="0071349F">
      <w:pPr>
        <w:pStyle w:val="Heading3"/>
      </w:pPr>
      <w:r w:rsidRPr="0071349F">
        <w:t>MAINTENANCE</w:t>
      </w:r>
      <w:r>
        <w:t xml:space="preserve"> </w:t>
      </w:r>
    </w:p>
    <w:p w14:paraId="34BABE54" w14:textId="4F28F71D"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944F25">
        <w:t>,</w:t>
      </w:r>
      <w:r w:rsidR="00E96964">
        <w:t xml:space="preserve"> </w:t>
      </w:r>
      <w:r w:rsidR="000E47A7" w:rsidRPr="000E47A7">
        <w:t xml:space="preserve">preventive maintenance </w:t>
      </w:r>
      <w:r w:rsidR="000E47A7" w:rsidRPr="000E47A7">
        <w:lastRenderedPageBreak/>
        <w:t>(PM)</w:t>
      </w:r>
      <w:r w:rsidR="00944F25">
        <w:t>, predictive maintenance (</w:t>
      </w:r>
      <w:proofErr w:type="spellStart"/>
      <w:r w:rsidR="00944F25">
        <w:t>PdM</w:t>
      </w:r>
      <w:proofErr w:type="spellEnd"/>
      <w:r w:rsidR="00944F25">
        <w:t>)</w:t>
      </w:r>
      <w:r w:rsidR="000E47A7" w:rsidRPr="000E47A7">
        <w:t>)</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4847454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038" cy="2589532"/>
                    </a:xfrm>
                    <a:prstGeom prst="rect">
                      <a:avLst/>
                    </a:prstGeom>
                  </pic:spPr>
                </pic:pic>
              </a:graphicData>
            </a:graphic>
          </wp:inline>
        </w:drawing>
      </w:r>
    </w:p>
    <w:p w14:paraId="290B5E75" w14:textId="5E221365" w:rsidR="000E76AE" w:rsidRDefault="00F05542"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1</w:t>
      </w:r>
      <w:r w:rsidR="004448DA">
        <w:rPr>
          <w:noProof/>
        </w:rPr>
        <w:fldChar w:fldCharType="end"/>
      </w:r>
      <w:r>
        <w:t xml:space="preserve">: </w:t>
      </w:r>
      <w:r w:rsidRPr="006A4538">
        <w:t xml:space="preserve"> Types of maintenance according to EN 13306 standard</w:t>
      </w:r>
    </w:p>
    <w:p w14:paraId="502EBF65" w14:textId="51755F13" w:rsidR="00E03749" w:rsidRDefault="000E76AE" w:rsidP="008C745C">
      <w:pPr>
        <w:ind w:left="720"/>
      </w:pPr>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 </w:t>
          </w:r>
          <w:proofErr w:type="spellStart"/>
          <w:r w:rsidR="00DF1D09" w:rsidRPr="00DF1D09">
            <w:rPr>
              <w:color w:val="000000"/>
            </w:rPr>
            <w:t>Rojek</w:t>
          </w:r>
          <w:proofErr w:type="spellEnd"/>
          <w:r w:rsidR="00DF1D09" w:rsidRPr="00DF1D09">
            <w:rPr>
              <w:color w:val="000000"/>
            </w:rPr>
            <w:t xml:space="preserve"> et al., 2023)</w:t>
          </w:r>
        </w:sdtContent>
      </w:sdt>
      <w:r w:rsidRPr="000E76AE">
        <w:t>.</w:t>
      </w:r>
    </w:p>
    <w:p w14:paraId="5AA7699C" w14:textId="5C130C3B" w:rsidR="005D1285" w:rsidRPr="00944F25" w:rsidRDefault="00944F25" w:rsidP="00944F25">
      <w:pPr>
        <w:ind w:left="720"/>
      </w:pPr>
      <w:r w:rsidRPr="00944F25">
        <w:t>In recent years, a third strategy, Predictive Maintenance (</w:t>
      </w:r>
      <w:proofErr w:type="spellStart"/>
      <w:r w:rsidRPr="00944F25">
        <w:t>PdM</w:t>
      </w:r>
      <w:proofErr w:type="spellEnd"/>
      <w:r w:rsidRPr="00944F25">
        <w:t xml:space="preserve">), has gained prominence. Predictive maintenance represents a significant advancement over corrective and preventive maintenance </w:t>
      </w:r>
      <w:proofErr w:type="spellStart"/>
      <w:r w:rsidRPr="00944F25">
        <w:t>strategie</w:t>
      </w:r>
      <w:proofErr w:type="spellEnd"/>
      <w:sdt>
        <w:sdtPr>
          <w:rPr>
            <w:color w:val="00000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Pr="00944F25">
        <w:t xml:space="preserve">s. It leverages the power of data, </w:t>
      </w:r>
      <w:r w:rsidRPr="00944F25">
        <w:lastRenderedPageBreak/>
        <w:t>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DefaultPlaceholder_-1854013440"/>
          </w:placeholder>
        </w:sdtPr>
        <w:sdtEndPr/>
        <w:sdtContent>
          <w:r w:rsidR="00DF1D09" w:rsidRPr="00DF1D09">
            <w:rPr>
              <w:color w:val="000000"/>
            </w:rPr>
            <w:t>(Carvalho et al., 2019)</w:t>
          </w:r>
        </w:sdtContent>
      </w:sdt>
      <w:r w:rsidRPr="00944F25">
        <w:t>.</w:t>
      </w:r>
    </w:p>
    <w:p w14:paraId="375046C3" w14:textId="747BAF1E" w:rsidR="008C745C" w:rsidRDefault="008C745C" w:rsidP="0071349F">
      <w:pPr>
        <w:pStyle w:val="Heading3"/>
      </w:pPr>
      <w:r w:rsidRPr="0071349F">
        <w:t>TRANSFORMER</w:t>
      </w:r>
      <w:r>
        <w:t xml:space="preserve"> FAULT</w:t>
      </w:r>
      <w:r w:rsidR="00BC6657">
        <w:t xml:space="preserve">S AND PREDICTIVE MAINTENANCE </w:t>
      </w:r>
    </w:p>
    <w:p w14:paraId="1DB76D6D" w14:textId="77777777" w:rsidR="008C745C" w:rsidRPr="00146E3F" w:rsidRDefault="008C745C" w:rsidP="008C745C">
      <w:pPr>
        <w:ind w:left="720"/>
      </w:pPr>
      <w:r w:rsidRPr="00146E3F">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20EDA61F" w14:textId="4C81DEC8" w:rsidR="008C745C" w:rsidRDefault="008C745C" w:rsidP="008C745C">
      <w:pPr>
        <w:ind w:left="720"/>
      </w:pPr>
      <w:r w:rsidRPr="00146E3F">
        <w:rPr>
          <w:b/>
        </w:rPr>
        <w:t>Electrical Faults</w:t>
      </w:r>
      <w:r w:rsidRPr="00146E3F">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1C09B068" w14:textId="77777777" w:rsidR="00606E4A" w:rsidRDefault="00606E4A" w:rsidP="00606E4A">
      <w:pPr>
        <w:keepNext/>
        <w:spacing w:line="240" w:lineRule="auto"/>
        <w:ind w:left="720"/>
        <w:jc w:val="center"/>
      </w:pPr>
      <w:r>
        <w:rPr>
          <w:noProof/>
        </w:rPr>
        <w:drawing>
          <wp:inline distT="0" distB="0" distL="0" distR="0" wp14:anchorId="730D85E9" wp14:editId="637809CF">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2D4C77E6" w14:textId="1C7D7B1A" w:rsidR="00606E4A" w:rsidRPr="00146E3F" w:rsidRDefault="00606E4A"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2</w:t>
      </w:r>
      <w:r w:rsidR="004448DA">
        <w:rPr>
          <w:noProof/>
        </w:rPr>
        <w:fldChar w:fldCharType="end"/>
      </w:r>
      <w:r>
        <w:t>: Electrical Faults of Transformer</w:t>
      </w:r>
    </w:p>
    <w:p w14:paraId="580ABD97" w14:textId="77777777" w:rsidR="008C745C" w:rsidRPr="00146E3F" w:rsidRDefault="008C745C" w:rsidP="008C745C">
      <w:pPr>
        <w:ind w:left="720"/>
      </w:pPr>
      <w:r w:rsidRPr="00146E3F">
        <w:rPr>
          <w:b/>
        </w:rPr>
        <w:lastRenderedPageBreak/>
        <w:t>Mechanical Faults</w:t>
      </w:r>
      <w:r w:rsidRPr="00146E3F">
        <w:t> like winding displacement and core movement can lead to uneven current distribution, increased noise, and compromised efficiency. These faults are typically caused by vibrations, thermal expansion, or manufacturing defects.</w:t>
      </w:r>
    </w:p>
    <w:p w14:paraId="2F182AE4" w14:textId="77777777" w:rsidR="008C745C" w:rsidRPr="00146E3F" w:rsidRDefault="008C745C" w:rsidP="008C745C">
      <w:pPr>
        <w:ind w:left="720"/>
      </w:pPr>
      <w:r w:rsidRPr="00146E3F">
        <w:rPr>
          <w:b/>
        </w:rPr>
        <w:t>Dielectric Faults</w:t>
      </w:r>
      <w:r w:rsidRPr="00146E3F">
        <w:t> involve issues with the insulating fluids within the transformer. Dielectric breakdown and partial discharge can degrade the insulation, leading to internal arcing and potential catastrophic failure.</w:t>
      </w:r>
    </w:p>
    <w:p w14:paraId="1144636A" w14:textId="4408C950" w:rsidR="00BF79D2" w:rsidRDefault="00944F25" w:rsidP="00944F25">
      <w:pPr>
        <w:ind w:left="720"/>
      </w:pPr>
      <w:r w:rsidRPr="00944F25">
        <w:t>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 power grid.</w:t>
      </w:r>
    </w:p>
    <w:p w14:paraId="7F023895" w14:textId="778DBF63" w:rsidR="000B6123" w:rsidRPr="00810AC7" w:rsidRDefault="000B6123" w:rsidP="000B6123">
      <w:pPr>
        <w:pStyle w:val="Heading3"/>
      </w:pPr>
      <w:r>
        <w:t>PRIDICTIVE MAINTENANCE</w:t>
      </w:r>
      <w:r w:rsidR="00CC1099">
        <w:t xml:space="preserve"> AND ELECTRICAL GRID STABILITY DATA </w:t>
      </w:r>
    </w:p>
    <w:p w14:paraId="1A86B182" w14:textId="77777777" w:rsidR="00CF59FF" w:rsidRPr="00CF59FF" w:rsidRDefault="00CF59FF" w:rsidP="00CF59FF">
      <w:pPr>
        <w:ind w:left="720"/>
      </w:pPr>
      <w:r w:rsidRPr="00CF59FF">
        <w:t>Electrical grid stability data refers to the information that reflects the condition of the electrical grid, including parameters such as voltage, current, and frequency. This data is crucial as it ensures the grid’s safe and efficient operation, and guarantees the delivery of power as required. By monitoring this data, utilities and grid operators can identify potential issues before they escalate, enabling them to take preventive measures. This approach helps avoid expensive repairs and power outages, and ensures public safety.</w:t>
      </w:r>
    </w:p>
    <w:p w14:paraId="2D56218F" w14:textId="6B00D8B6" w:rsidR="00E323A0" w:rsidRPr="00E323A0" w:rsidRDefault="00E323A0" w:rsidP="00E323A0">
      <w:pPr>
        <w:ind w:left="720"/>
      </w:pPr>
      <w:r w:rsidRPr="00E323A0">
        <w:rPr>
          <w:b/>
        </w:rPr>
        <w:lastRenderedPageBreak/>
        <w:t>Voltage Data:</w:t>
      </w:r>
      <w:r w:rsidRPr="00E323A0">
        <w:t xml:space="preserve"> This type of data includes measurements of voltage levels at various points within the electrical grid. Monitoring voltage levels is critical for ensuring proper equipment function and power quality. Variations in voltage can indicate issues such as overloading or equipment malfunctions, affecting the reliability of electricity supply.</w:t>
      </w:r>
    </w:p>
    <w:p w14:paraId="5C522D42" w14:textId="77777777" w:rsidR="00E323A0" w:rsidRPr="00E323A0" w:rsidRDefault="00E323A0" w:rsidP="00E323A0">
      <w:pPr>
        <w:ind w:left="720"/>
      </w:pPr>
      <w:r w:rsidRPr="004572A3">
        <w:rPr>
          <w:b/>
        </w:rPr>
        <w:t>Frequency Data:</w:t>
      </w:r>
      <w:r w:rsidRPr="00E323A0">
        <w:t xml:space="preserve"> Frequency data involves measurements of the frequency of alternating current (AC) within the grid. Grid frequency is typically maintained at a constant value, and deviations can signal imbalances in supply and demand. Frequency data helps operators regulate grid stability and address issues like overloading or generation shortages promptly.</w:t>
      </w:r>
    </w:p>
    <w:p w14:paraId="579F33A9" w14:textId="77777777" w:rsidR="00E323A0" w:rsidRPr="00E323A0" w:rsidRDefault="00E323A0" w:rsidP="00E323A0">
      <w:pPr>
        <w:ind w:left="720"/>
      </w:pPr>
      <w:r w:rsidRPr="004572A3">
        <w:rPr>
          <w:b/>
        </w:rPr>
        <w:t>Load Data:</w:t>
      </w:r>
      <w:r w:rsidRPr="00E323A0">
        <w:t xml:space="preserve"> Load data pertains to measurements of electricity demand or load levels across the grid. Understanding load patterns helps operators anticipate peak demand periods, plan for capacity requirements, and optimize resource allocation. It provides valuable insights into consumer behavior and usage trends, guiding effective grid management strategies.</w:t>
      </w:r>
    </w:p>
    <w:p w14:paraId="118DCFCF" w14:textId="77777777" w:rsidR="00E323A0" w:rsidRPr="00E323A0" w:rsidRDefault="00E323A0" w:rsidP="00E323A0">
      <w:pPr>
        <w:ind w:left="720"/>
      </w:pPr>
      <w:r w:rsidRPr="004572A3">
        <w:rPr>
          <w:b/>
        </w:rPr>
        <w:t>Power Quality Data:</w:t>
      </w:r>
      <w:r w:rsidRPr="00E323A0">
        <w:t xml:space="preserve"> Power quality data encompasses measurements of various parameters related to the quality and reliability of electrical power. This includes factors like voltage harmonics, voltage unbalance, and transient voltage fluctuations. Monitoring power quality ensures that electricity meets acceptable standards and helps identify issues affecting grid performance.</w:t>
      </w:r>
    </w:p>
    <w:p w14:paraId="086A03E1" w14:textId="3687E076" w:rsidR="00E323A0" w:rsidRDefault="00E323A0" w:rsidP="00E323A0">
      <w:pPr>
        <w:ind w:left="720"/>
      </w:pPr>
      <w:r w:rsidRPr="004572A3">
        <w:rPr>
          <w:b/>
        </w:rPr>
        <w:t>Fault Data:</w:t>
      </w:r>
      <w:r w:rsidRPr="00E323A0">
        <w:t xml:space="preserve"> Fault data provides information on electrical faults or disturbances within the grid, such as short circuits or equipment failures. Rapid detection and response to faults are crucial for minimizing downtime and ensuring grid reliability. Fault data aids in </w:t>
      </w:r>
      <w:r w:rsidRPr="00E323A0">
        <w:lastRenderedPageBreak/>
        <w:t>pinpointing the location and severity of faults, facilitating timely interventions and restoration of service.</w:t>
      </w:r>
    </w:p>
    <w:p w14:paraId="15BAD4EE" w14:textId="12AC050E" w:rsidR="004572A3" w:rsidRPr="00CF59FF" w:rsidRDefault="00CF59FF" w:rsidP="00CF59FF">
      <w:pPr>
        <w:ind w:left="720"/>
      </w:pPr>
      <w:r w:rsidRPr="00CF59FF">
        <w:t>Electrical grid stability data can provide valuable insights for predictive maintenance programs. By monitoring stability metrics over time, operators can identify trends, patterns, and early indicators of equipment degradation or impending failures. This proactive approach allows for timely maintenance interventions, reducing the risk of unplanned outages and optimizing asset performance.</w:t>
      </w:r>
    </w:p>
    <w:p w14:paraId="67FD1CFC" w14:textId="27AABD54" w:rsidR="0071349F" w:rsidRPr="0071349F" w:rsidRDefault="00810AC7" w:rsidP="00D6505A">
      <w:pPr>
        <w:pStyle w:val="Heading3"/>
      </w:pPr>
      <w:r>
        <w:t>PREDICTIVE MAINTENANCE AND MACHINE LEARNING</w:t>
      </w:r>
    </w:p>
    <w:p w14:paraId="456D11D9" w14:textId="5D50A1CF" w:rsidR="00810AC7" w:rsidRDefault="009961FB" w:rsidP="009961FB">
      <w:pPr>
        <w:ind w:left="720"/>
      </w:pPr>
      <w:r w:rsidRPr="009961FB">
        <w:t>Machine learning, a subset of artificial intelligence, involves developing algorithms and statistical models that enable computer systems to learn and make predictions or decisions without being explicitly programmed. </w:t>
      </w:r>
      <w:r w:rsidR="0071349F" w:rsidRPr="009961FB">
        <w:t>Machine learning, along with the Internet of Things (IoT), plays a pivotal role in predictive maintenance. IoT devices, essentially sensors or equipment, continuously feed real-time data to centralized systems. This influx of data, combined with machine learning models, allows for incredibly precise predictive maintenance schedules. </w:t>
      </w:r>
      <w:r w:rsidR="00D6505A">
        <w:t>The three main ML techniques employed are</w:t>
      </w:r>
      <w:r w:rsidR="003A588B">
        <w:t>.</w:t>
      </w:r>
    </w:p>
    <w:p w14:paraId="795C6673" w14:textId="34C1DAA5" w:rsidR="003A588B" w:rsidRDefault="003A588B" w:rsidP="003A588B">
      <w:pPr>
        <w:ind w:left="720"/>
      </w:pPr>
      <w:r w:rsidRPr="003A588B">
        <w:rPr>
          <w:b/>
        </w:rPr>
        <w:t>Supervised learning algorithms</w:t>
      </w:r>
      <w:r w:rsidRPr="003A588B">
        <w:t xml:space="preserve"> like </w:t>
      </w:r>
      <w:proofErr w:type="spellStart"/>
      <w:r w:rsidRPr="003A588B">
        <w:t>XGBoost</w:t>
      </w:r>
      <w:proofErr w:type="spellEnd"/>
      <w:r w:rsidRPr="003A588B">
        <w:t xml:space="preserve"> and Random Forest excel at pattern recognition. Trained on historical data of transformer failures and corresponding sensor readings, they learn to identify the intricate relationships between sensor data and impending faults</w:t>
      </w:r>
      <w:sdt>
        <w:sdtPr>
          <w:rPr>
            <w:color w:val="00000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DefaultPlaceholder_-1854013440"/>
          </w:placeholder>
        </w:sdtPr>
        <w:sdtEndPr/>
        <w:sdtContent>
          <w:r w:rsidR="00DF1D09" w:rsidRPr="00DF1D09">
            <w:rPr>
              <w:color w:val="000000"/>
            </w:rPr>
            <w:t>(</w:t>
          </w:r>
          <w:proofErr w:type="spellStart"/>
          <w:r w:rsidR="00DF1D09" w:rsidRPr="00DF1D09">
            <w:rPr>
              <w:color w:val="000000"/>
            </w:rPr>
            <w:t>Janiesch</w:t>
          </w:r>
          <w:proofErr w:type="spellEnd"/>
          <w:r w:rsidR="00DF1D09" w:rsidRPr="00DF1D09">
            <w:rPr>
              <w:color w:val="000000"/>
            </w:rPr>
            <w:t xml:space="preserve"> et al., 2021)</w:t>
          </w:r>
        </w:sdtContent>
      </w:sdt>
      <w:r w:rsidRPr="003A588B">
        <w:t>. Just like an experienced doctor analyzing test results, these algorithms can trigger alarms based on subtle anomalies in real-time data, predicting failures before they occur.</w:t>
      </w:r>
    </w:p>
    <w:p w14:paraId="29A06A7C" w14:textId="77777777" w:rsidR="00CC1099" w:rsidRDefault="000B6123" w:rsidP="00CC1099">
      <w:pPr>
        <w:keepNext/>
        <w:spacing w:line="240" w:lineRule="auto"/>
        <w:ind w:left="720"/>
        <w:jc w:val="center"/>
      </w:pPr>
      <w:r>
        <w:rPr>
          <w:noProof/>
        </w:rPr>
        <w:lastRenderedPageBreak/>
        <w:drawing>
          <wp:inline distT="0" distB="0" distL="0" distR="0" wp14:anchorId="75E61424" wp14:editId="319E8581">
            <wp:extent cx="4052656" cy="21157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687" cy="2131460"/>
                    </a:xfrm>
                    <a:prstGeom prst="rect">
                      <a:avLst/>
                    </a:prstGeom>
                  </pic:spPr>
                </pic:pic>
              </a:graphicData>
            </a:graphic>
          </wp:inline>
        </w:drawing>
      </w:r>
    </w:p>
    <w:p w14:paraId="0BEDCABB" w14:textId="3E4CD51C" w:rsidR="000B6123" w:rsidRPr="003A588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3</w:t>
      </w:r>
      <w:r w:rsidR="004448DA">
        <w:rPr>
          <w:noProof/>
        </w:rPr>
        <w:fldChar w:fldCharType="end"/>
      </w:r>
      <w:r>
        <w:t>:Supervised learning algorithm</w:t>
      </w:r>
    </w:p>
    <w:p w14:paraId="1D1AACB6" w14:textId="6CA7E9AB" w:rsidR="003A588B" w:rsidRDefault="003A588B" w:rsidP="003A588B">
      <w:pPr>
        <w:ind w:left="720"/>
      </w:pPr>
      <w:r w:rsidRPr="003A588B">
        <w:rPr>
          <w:b/>
        </w:rPr>
        <w:t>Unsupervised learning algorithms</w:t>
      </w:r>
      <w:r w:rsidRPr="003A588B">
        <w:t xml:space="preserve"> like k-means clustering take a different approach. They explore vast amounts of sensor data, searching for hidden patterns and groupings that might not be readily apparent to traditional methods.</w:t>
      </w:r>
      <w:r>
        <w:t xml:space="preserve"> </w:t>
      </w:r>
      <w:r w:rsidRPr="003A588B">
        <w:t>Similarly, in fault detection, it can uncover new failure modes or early signs of trouble, providing deeper insights into the health of the equipment</w:t>
      </w:r>
      <w:sdt>
        <w:sdtPr>
          <w:tag w:val="MENDELEY_CITATION_TEMP"/>
          <w:id w:val="-1012137115"/>
          <w:placeholder>
            <w:docPart w:val="DefaultPlaceholder_-1854013440"/>
          </w:placeholder>
          <w15:appearance w15:val="hidden"/>
        </w:sdtPr>
        <w:sdtEndPr/>
        <w:sdtContent>
          <w:r w:rsidR="00DF1D09">
            <w:t xml:space="preserve"> </w:t>
          </w:r>
        </w:sdtContent>
      </w:sdt>
      <w:r w:rsidRPr="003A588B">
        <w:t>.</w:t>
      </w:r>
    </w:p>
    <w:p w14:paraId="6838BE0F" w14:textId="77777777" w:rsidR="00CC1099" w:rsidRDefault="00CC1099" w:rsidP="00CC1099">
      <w:pPr>
        <w:keepNext/>
        <w:spacing w:line="240" w:lineRule="auto"/>
        <w:ind w:left="720"/>
        <w:jc w:val="center"/>
      </w:pPr>
      <w:r>
        <w:rPr>
          <w:noProof/>
        </w:rPr>
        <w:drawing>
          <wp:inline distT="0" distB="0" distL="0" distR="0" wp14:anchorId="77D71534" wp14:editId="292CCE05">
            <wp:extent cx="4370402" cy="1797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42" cy="1806382"/>
                    </a:xfrm>
                    <a:prstGeom prst="rect">
                      <a:avLst/>
                    </a:prstGeom>
                  </pic:spPr>
                </pic:pic>
              </a:graphicData>
            </a:graphic>
          </wp:inline>
        </w:drawing>
      </w:r>
    </w:p>
    <w:p w14:paraId="00BC4088" w14:textId="0A876C36" w:rsidR="00CC1099" w:rsidRPr="003A588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4</w:t>
      </w:r>
      <w:r w:rsidR="004448DA">
        <w:rPr>
          <w:noProof/>
        </w:rPr>
        <w:fldChar w:fldCharType="end"/>
      </w:r>
      <w:r>
        <w:t>: Unsupervised learning al</w:t>
      </w:r>
      <w:r>
        <w:rPr>
          <w:noProof/>
        </w:rPr>
        <w:t>gorit</w:t>
      </w:r>
      <w:r w:rsidR="009F7EA2">
        <w:rPr>
          <w:noProof/>
        </w:rPr>
        <w:t>h</w:t>
      </w:r>
      <w:r>
        <w:rPr>
          <w:noProof/>
        </w:rPr>
        <w:t>m</w:t>
      </w:r>
    </w:p>
    <w:p w14:paraId="1CA5D3E6" w14:textId="36E863AB" w:rsidR="003A588B" w:rsidRDefault="003A588B" w:rsidP="003A588B">
      <w:pPr>
        <w:ind w:left="720"/>
      </w:pPr>
      <w:r w:rsidRPr="003A588B">
        <w:rPr>
          <w:b/>
        </w:rPr>
        <w:t>Deep learning</w:t>
      </w:r>
      <w:r w:rsidRPr="003A588B">
        <w:t xml:space="preserve"> takes things a step further with its ability to analyze complex data streams like vibration signals or infrared images</w:t>
      </w:r>
      <w:sdt>
        <w:sdtPr>
          <w:rPr>
            <w:color w:val="00000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
          <w:id w:val="584343462"/>
          <w:placeholder>
            <w:docPart w:val="DefaultPlaceholder_-1854013440"/>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 </w:t>
          </w:r>
          <w:proofErr w:type="spellStart"/>
          <w:r w:rsidR="00DF1D09" w:rsidRPr="00DF1D09">
            <w:rPr>
              <w:color w:val="000000"/>
            </w:rPr>
            <w:t>Janiesch</w:t>
          </w:r>
          <w:proofErr w:type="spellEnd"/>
          <w:r w:rsidR="00DF1D09" w:rsidRPr="00DF1D09">
            <w:rPr>
              <w:color w:val="000000"/>
            </w:rPr>
            <w:t xml:space="preserve"> et al., 2021)</w:t>
          </w:r>
        </w:sdtContent>
      </w:sdt>
      <w:r w:rsidRPr="003A588B">
        <w:t xml:space="preserve">. Convolutional neural networks (CNNs) can be trained on thousands of transformer images, </w:t>
      </w:r>
      <w:r w:rsidRPr="003A588B">
        <w:lastRenderedPageBreak/>
        <w:t xml:space="preserve">both healthy and faulty. They meticulously dissect each image, extracting minute features and patterns that human eyes might miss. </w:t>
      </w:r>
    </w:p>
    <w:p w14:paraId="43C79CA4" w14:textId="77777777" w:rsidR="00CC1099" w:rsidRDefault="00CC1099" w:rsidP="00CC1099">
      <w:pPr>
        <w:keepNext/>
        <w:spacing w:line="240" w:lineRule="auto"/>
        <w:ind w:left="720"/>
        <w:jc w:val="center"/>
      </w:pPr>
      <w:r>
        <w:rPr>
          <w:noProof/>
        </w:rPr>
        <w:drawing>
          <wp:inline distT="0" distB="0" distL="0" distR="0" wp14:anchorId="30B71BDF" wp14:editId="7BB4FF2B">
            <wp:extent cx="4991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943100"/>
                    </a:xfrm>
                    <a:prstGeom prst="rect">
                      <a:avLst/>
                    </a:prstGeom>
                  </pic:spPr>
                </pic:pic>
              </a:graphicData>
            </a:graphic>
          </wp:inline>
        </w:drawing>
      </w:r>
    </w:p>
    <w:p w14:paraId="0C446666" w14:textId="4728E7FE" w:rsidR="00CC1099" w:rsidRPr="009961FB" w:rsidRDefault="00CC1099" w:rsidP="00CC1099">
      <w:pPr>
        <w:pStyle w:val="Caption"/>
      </w:pPr>
      <w:r>
        <w:t xml:space="preserve">Figure </w:t>
      </w:r>
      <w:r w:rsidR="004448DA">
        <w:fldChar w:fldCharType="begin"/>
      </w:r>
      <w:r w:rsidR="004448DA">
        <w:instrText xml:space="preserve"> SEQ Figure \* ARABIC </w:instrText>
      </w:r>
      <w:r w:rsidR="004448DA">
        <w:fldChar w:fldCharType="separate"/>
      </w:r>
      <w:r w:rsidR="00F95C79">
        <w:rPr>
          <w:noProof/>
        </w:rPr>
        <w:t>5</w:t>
      </w:r>
      <w:r w:rsidR="004448DA">
        <w:rPr>
          <w:noProof/>
        </w:rPr>
        <w:fldChar w:fldCharType="end"/>
      </w:r>
      <w:r>
        <w:t>: Deep learning algorithm</w:t>
      </w:r>
    </w:p>
    <w:p w14:paraId="50FCE32D" w14:textId="325C3290" w:rsidR="0071349F" w:rsidRDefault="0071349F" w:rsidP="009961FB">
      <w:pPr>
        <w:ind w:left="720"/>
      </w:pPr>
      <w:r w:rsidRPr="009961FB">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DF1D09">
        <w:t>.</w:t>
      </w:r>
      <w:r w:rsidR="009961FB">
        <w:t xml:space="preserve"> </w:t>
      </w:r>
      <w:r w:rsidRPr="009961FB">
        <w:t>Predictive maintenance has been reported to reduce breakdowns by 70%, increase productivity by 25%, and lower maintenance costs by 25%</w:t>
      </w:r>
      <w:sdt>
        <w:sdtPr>
          <w:rPr>
            <w:color w:val="00000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9961FB">
        <w:t>. This approach, combined with machine learning, is reshaping how businesses operate, making them more proactive, efficient, and resilient.</w:t>
      </w:r>
    </w:p>
    <w:p w14:paraId="7517A592" w14:textId="77777777" w:rsidR="000B6123" w:rsidRPr="000B6123" w:rsidRDefault="000B6123" w:rsidP="000B6123">
      <w:pPr>
        <w:pStyle w:val="Heading3"/>
      </w:pPr>
      <w:r>
        <w:t>RANDOM FOREST ALGORITHM</w:t>
      </w:r>
    </w:p>
    <w:p w14:paraId="160C82E0" w14:textId="643379AF" w:rsidR="000B6123" w:rsidRDefault="00F74EBF" w:rsidP="00E256E0">
      <w:pPr>
        <w:ind w:left="720"/>
      </w:pPr>
      <w:r w:rsidRPr="001E4F65">
        <w:t xml:space="preserve">As a powerful ensemble learning technique, Random Forest harnesses the collective wisdom of multiple decision trees to conquer complex problems in supervised learning. </w:t>
      </w:r>
      <w:r w:rsidR="00D6327F" w:rsidRPr="001E4F65">
        <w:t>It</w:t>
      </w:r>
      <w:r w:rsidR="00D6327F" w:rsidRPr="002F1C4C">
        <w:t xml:space="preserve"> can be used for both Classification and Regression problems in ML</w:t>
      </w:r>
      <w:r w:rsidR="009D4D07" w:rsidRPr="002F1C4C">
        <w:t xml:space="preserve"> This ensemble learning powerhouse </w:t>
      </w:r>
      <w:r w:rsidR="002D3647">
        <w:t xml:space="preserve">combines </w:t>
      </w:r>
      <w:r w:rsidR="002D3647" w:rsidRPr="002D3647">
        <w:t>maze of sensor readings and historical trends, boosting accuracy and resilience in identifying potential failures</w:t>
      </w:r>
      <w:r w:rsidR="002F1C4C" w:rsidRPr="002D3647">
        <w:t>.</w:t>
      </w:r>
      <w:r w:rsidR="002F1C4C" w:rsidRPr="00E256E0">
        <w:t xml:space="preserve"> As</w:t>
      </w:r>
      <w:r w:rsidR="00D6327F" w:rsidRPr="00E256E0">
        <w:t xml:space="preserve"> the name suggests, “Random Forest is a classifier that contains a number of decision trees on various subsets of the given dataset </w:t>
      </w:r>
      <w:r w:rsidR="00D6327F" w:rsidRPr="00E256E0">
        <w:lastRenderedPageBreak/>
        <w:t xml:space="preserve">and takes the average to improve the predictive accuracy of that dataset.” The greater number of trees in the forest leads to higher accuracy and prevents the problem of </w:t>
      </w:r>
      <w:r w:rsidR="00876D23" w:rsidRPr="00E256E0">
        <w:t>overfitting. The</w:t>
      </w:r>
      <w:r w:rsidR="00D6327F" w:rsidRPr="00E256E0">
        <w:t xml:space="preserve"> below diagram explains the working of the Random Forest algorithm:</w:t>
      </w:r>
    </w:p>
    <w:p w14:paraId="02F1EACF" w14:textId="77777777" w:rsidR="00F95C79" w:rsidRDefault="00F95C79" w:rsidP="00F95C79">
      <w:pPr>
        <w:keepNext/>
        <w:spacing w:line="240" w:lineRule="auto"/>
        <w:ind w:left="720"/>
        <w:jc w:val="center"/>
      </w:pPr>
      <w:r>
        <w:rPr>
          <w:noProof/>
        </w:rPr>
        <w:drawing>
          <wp:inline distT="0" distB="0" distL="0" distR="0" wp14:anchorId="69ADE952" wp14:editId="2BF601E3">
            <wp:extent cx="5415379" cy="3509590"/>
            <wp:effectExtent l="0" t="0" r="0" b="0"/>
            <wp:docPr id="6" name="Picture 6" descr="Random forest algorithm structure [3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structure [35].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412" cy="3517388"/>
                    </a:xfrm>
                    <a:prstGeom prst="rect">
                      <a:avLst/>
                    </a:prstGeom>
                    <a:noFill/>
                    <a:ln>
                      <a:noFill/>
                    </a:ln>
                  </pic:spPr>
                </pic:pic>
              </a:graphicData>
            </a:graphic>
          </wp:inline>
        </w:drawing>
      </w:r>
    </w:p>
    <w:p w14:paraId="0256EFDC" w14:textId="364DE311" w:rsidR="00B80EB3" w:rsidRPr="00E256E0" w:rsidRDefault="00F95C79" w:rsidP="00F95C79">
      <w:pPr>
        <w:pStyle w:val="Caption"/>
      </w:pPr>
      <w:r>
        <w:t xml:space="preserve">Figure </w:t>
      </w:r>
      <w:r w:rsidR="00876D23">
        <w:fldChar w:fldCharType="begin"/>
      </w:r>
      <w:r w:rsidR="00876D23">
        <w:instrText xml:space="preserve"> SEQ Figure \* ARABIC </w:instrText>
      </w:r>
      <w:r w:rsidR="00876D23">
        <w:fldChar w:fldCharType="separate"/>
      </w:r>
      <w:r>
        <w:rPr>
          <w:noProof/>
        </w:rPr>
        <w:t>6</w:t>
      </w:r>
      <w:r w:rsidR="00876D23">
        <w:rPr>
          <w:noProof/>
        </w:rPr>
        <w:fldChar w:fldCharType="end"/>
      </w:r>
      <w:r>
        <w:t>: Random Forest Algorithm</w:t>
      </w:r>
    </w:p>
    <w:p w14:paraId="0CE04B2A" w14:textId="232F7369" w:rsidR="008467EB" w:rsidRDefault="008467EB" w:rsidP="008467EB">
      <w:pPr>
        <w:ind w:left="720"/>
      </w:pPr>
      <w:r w:rsidRPr="008467EB">
        <w:t xml:space="preserve">In the context of </w:t>
      </w:r>
      <w:r w:rsidRPr="008467EB">
        <w:rPr>
          <w:b/>
        </w:rPr>
        <w:t>classification</w:t>
      </w:r>
      <w:r w:rsidRPr="008467EB">
        <w:t>, the algorithm begins by randomly sampling subsets of the training data with replacement. For each subset, decision trees are constructed</w:t>
      </w:r>
      <w:r w:rsidR="00A66647">
        <w:t xml:space="preserve"> using group of sensor readings and historical trends</w:t>
      </w:r>
      <w:r w:rsidRPr="008467EB">
        <w:t>. 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w:t>
      </w:r>
      <w:r>
        <w:t>.</w:t>
      </w:r>
    </w:p>
    <w:p w14:paraId="382FD6C2" w14:textId="1182840D" w:rsidR="008467EB" w:rsidRDefault="008467EB" w:rsidP="008467EB">
      <w:pPr>
        <w:ind w:left="720"/>
      </w:pPr>
      <w:r>
        <w:lastRenderedPageBreak/>
        <w:t xml:space="preserve">The Gini impurity, denoted as </w:t>
      </w:r>
      <w:r>
        <w:rPr>
          <w:rStyle w:val="mord"/>
        </w:rPr>
        <w:t>Gini</w:t>
      </w:r>
      <w:r>
        <w:rPr>
          <w:rStyle w:val="mopen"/>
        </w:rPr>
        <w:t>(</w:t>
      </w:r>
      <w:r>
        <w:rPr>
          <w:rStyle w:val="mord"/>
        </w:rPr>
        <w:t>D</w:t>
      </w:r>
      <w:r>
        <w:rPr>
          <w:rStyle w:val="mclose"/>
        </w:rPr>
        <w:t>)</w:t>
      </w:r>
      <w:r>
        <w:t xml:space="preserve">, for a dataset </w:t>
      </w:r>
      <w:r>
        <w:rPr>
          <w:rStyle w:val="mord"/>
        </w:rPr>
        <w:t>D</w:t>
      </w:r>
      <w:r>
        <w:t xml:space="preserve"> with </w:t>
      </w:r>
      <w:r>
        <w:rPr>
          <w:rStyle w:val="mord"/>
        </w:rPr>
        <w:t>C</w:t>
      </w:r>
      <w:r>
        <w:t xml:space="preserve"> classes is calculated using the formula:</w:t>
      </w:r>
    </w:p>
    <w:p w14:paraId="55BFB1E6" w14:textId="1C0C94E1" w:rsidR="008467EB" w:rsidRPr="00742EBC" w:rsidRDefault="008467EB" w:rsidP="008467EB">
      <w:pPr>
        <w:ind w:left="720"/>
      </w:pPr>
      <m:oMathPara>
        <m:oMath>
          <m:r>
            <w:rPr>
              <w:rFonts w:ascii="Cambria Math" w:hAnsi="Cambria Math"/>
            </w:rPr>
            <m:t>Gini(D)=1-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03A27958" w14:textId="0EFB923A" w:rsidR="008467EB" w:rsidRDefault="008C5FA7" w:rsidP="008467EB">
      <w:pPr>
        <w:ind w:left="720"/>
      </w:pPr>
      <w:r>
        <w:t xml:space="preserve">Here, </w:t>
      </w:r>
      <w:r>
        <w:rPr>
          <w:rStyle w:val="mord"/>
        </w:rPr>
        <w:t>p</w:t>
      </w:r>
      <w:r w:rsidRPr="008C5FA7">
        <w:rPr>
          <w:rStyle w:val="mord"/>
          <w:vertAlign w:val="subscript"/>
        </w:rPr>
        <w:t>i</w:t>
      </w:r>
      <w:r w:rsidRPr="008C5FA7">
        <w:rPr>
          <w:rStyle w:val="vlist-s"/>
          <w:vertAlign w:val="subscript"/>
        </w:rPr>
        <w:t>​</w:t>
      </w:r>
      <w:r>
        <w:t xml:space="preserve"> is the probability of class </w:t>
      </w:r>
      <w:proofErr w:type="spellStart"/>
      <w:r>
        <w:rPr>
          <w:rStyle w:val="mord"/>
        </w:rPr>
        <w:t>i</w:t>
      </w:r>
      <w:proofErr w:type="spellEnd"/>
      <w:r>
        <w:t xml:space="preserve"> in node </w:t>
      </w:r>
      <w:r>
        <w:rPr>
          <w:rStyle w:val="mord"/>
        </w:rPr>
        <w:t>D</w:t>
      </w:r>
      <w:r>
        <w:t>.</w:t>
      </w:r>
    </w:p>
    <w:p w14:paraId="2E8F4D11" w14:textId="7DDE681C" w:rsidR="008B01D0" w:rsidRPr="008B01D0" w:rsidRDefault="00EF2AC8" w:rsidP="008B01D0">
      <w:r w:rsidRPr="00F076E4">
        <w:t xml:space="preserve">While classification focuses on distinct categories, Random Forest also ventures into the realm of </w:t>
      </w:r>
      <w:r w:rsidRPr="00A66647">
        <w:rPr>
          <w:b/>
        </w:rPr>
        <w:t>regression</w:t>
      </w:r>
      <w:r w:rsidR="00A66647" w:rsidRPr="00A66647">
        <w:rPr>
          <w:b/>
        </w:rPr>
        <w:t>.</w:t>
      </w:r>
      <w:r w:rsidRPr="00A66647">
        <w:t xml:space="preserve"> </w:t>
      </w:r>
      <w:r w:rsidR="00A66647" w:rsidRPr="00A66647">
        <w:t>Here, each tree becomes a treasure hunter, analyzing relationships between features and actual values to estimate the remaining lifespan of transformers based on their current readings</w:t>
      </w:r>
      <w:r w:rsidR="00F076E4" w:rsidRPr="00A66647">
        <w:t>.</w:t>
      </w:r>
      <w:r w:rsidR="008B01D0" w:rsidRPr="008B01D0">
        <w:t xml:space="preserve"> The </w:t>
      </w:r>
      <w:r w:rsidR="00F076E4">
        <w:t xml:space="preserve">final </w:t>
      </w:r>
      <w:r w:rsidR="008B01D0" w:rsidRPr="008B01D0">
        <w:t>predicted value for a sample is the average of predictions by all the individual trees, calculated as:</w:t>
      </w:r>
    </w:p>
    <w:p w14:paraId="533B8135" w14:textId="21B0F789" w:rsidR="008B01D0" w:rsidRPr="00742EBC" w:rsidRDefault="00876D23" w:rsidP="008B01D0">
      <m:oMathPara>
        <m:oMath>
          <m:acc>
            <m:accPr>
              <m:ctrlPr>
                <w:rPr>
                  <w:rFonts w:ascii="Cambria Math" w:hAnsi="Cambria Math"/>
                </w:rPr>
              </m:ctrlPr>
            </m:accPr>
            <m:e>
              <m:r>
                <w:rPr>
                  <w:rFonts w:ascii="Cambria Math" w:hAnsi="Cambria Math"/>
                </w:rPr>
                <m:t>y</m:t>
              </m:r>
            </m:e>
          </m:acc>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(x)</m:t>
              </m:r>
            </m:e>
          </m:nary>
        </m:oMath>
      </m:oMathPara>
    </w:p>
    <w:p w14:paraId="21A4AB3B" w14:textId="71F26D81" w:rsidR="00D6327F" w:rsidRPr="008B01D0" w:rsidRDefault="008B01D0" w:rsidP="008B01D0">
      <w:r w:rsidRPr="008B01D0">
        <w:t>Here, y^​</w:t>
      </w:r>
      <w:proofErr w:type="spellStart"/>
      <w:r w:rsidRPr="008B01D0">
        <w:t>i</w:t>
      </w:r>
      <w:proofErr w:type="spellEnd"/>
      <w:r w:rsidRPr="008B01D0">
        <w:t xml:space="preserve">​(x) represents the predicted value by the </w:t>
      </w:r>
      <w:proofErr w:type="spellStart"/>
      <w:r w:rsidRPr="008B01D0">
        <w:t>i-th</w:t>
      </w:r>
      <w:proofErr w:type="spellEnd"/>
      <w:r w:rsidRPr="008B01D0">
        <w:t xml:space="preserve"> decision tree for sample x.</w:t>
      </w:r>
    </w:p>
    <w:p w14:paraId="74A979EE" w14:textId="2D6DCC4C" w:rsidR="00E23DDE" w:rsidRDefault="000B6123" w:rsidP="000B6123">
      <w:pPr>
        <w:pStyle w:val="Heading3"/>
      </w:pPr>
      <w:r>
        <w:t>EXTRA GRADIENT BOOSTING (XGBOOST) ALGORITHM</w:t>
      </w:r>
    </w:p>
    <w:p w14:paraId="684353E7" w14:textId="77777777" w:rsidR="005D1EA7" w:rsidRPr="005D1EA7" w:rsidRDefault="005D1EA7" w:rsidP="005D1EA7">
      <w:pPr>
        <w:ind w:left="720"/>
      </w:pPr>
    </w:p>
    <w:p w14:paraId="3F072A6A" w14:textId="64A54E83" w:rsidR="000B6123" w:rsidRDefault="000B6123" w:rsidP="000B6123">
      <w:pPr>
        <w:pStyle w:val="Heading2"/>
      </w:pPr>
      <w:r>
        <w:t>REVIEW OF RELATED WORKS</w:t>
      </w:r>
    </w:p>
    <w:p w14:paraId="53A3EAA2" w14:textId="77777777" w:rsidR="006717C0" w:rsidRPr="000E76AE" w:rsidRDefault="006717C0" w:rsidP="00944F25">
      <w:pPr>
        <w:ind w:left="720"/>
      </w:pPr>
      <w:bookmarkStart w:id="1" w:name="_GoBack"/>
      <w:bookmarkEnd w:id="1"/>
    </w:p>
    <w:sectPr w:rsidR="006717C0" w:rsidRPr="000E76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761D93" w:rsidRDefault="00761D93"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03A07C32"/>
    <w:lvl w:ilvl="0" w:tplc="EC8C5CD4">
      <w:start w:val="1"/>
      <w:numFmt w:val="decimal"/>
      <w:lvlText w:val="2.2.%1"/>
      <w:lvlJc w:val="left"/>
      <w:pPr>
        <w:ind w:left="27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14898"/>
    <w:multiLevelType w:val="multilevel"/>
    <w:tmpl w:val="6E76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5"/>
  </w:num>
  <w:num w:numId="4">
    <w:abstractNumId w:val="2"/>
  </w:num>
  <w:num w:numId="5">
    <w:abstractNumId w:val="19"/>
  </w:num>
  <w:num w:numId="6">
    <w:abstractNumId w:val="13"/>
  </w:num>
  <w:num w:numId="7">
    <w:abstractNumId w:val="18"/>
  </w:num>
  <w:num w:numId="8">
    <w:abstractNumId w:val="17"/>
  </w:num>
  <w:num w:numId="9">
    <w:abstractNumId w:val="6"/>
  </w:num>
  <w:num w:numId="10">
    <w:abstractNumId w:val="14"/>
  </w:num>
  <w:num w:numId="11">
    <w:abstractNumId w:val="0"/>
  </w:num>
  <w:num w:numId="12">
    <w:abstractNumId w:val="5"/>
  </w:num>
  <w:num w:numId="13">
    <w:abstractNumId w:val="3"/>
  </w:num>
  <w:num w:numId="14">
    <w:abstractNumId w:val="11"/>
  </w:num>
  <w:num w:numId="15">
    <w:abstractNumId w:val="4"/>
  </w:num>
  <w:num w:numId="16">
    <w:abstractNumId w:val="1"/>
  </w:num>
  <w:num w:numId="17">
    <w:abstractNumId w:val="12"/>
  </w:num>
  <w:num w:numId="18">
    <w:abstractNumId w:val="8"/>
  </w:num>
  <w:num w:numId="19">
    <w:abstractNumId w:val="8"/>
    <w:lvlOverride w:ilvl="0">
      <w:startOverride w:val="1"/>
    </w:lvlOverride>
  </w:num>
  <w:num w:numId="20">
    <w:abstractNumId w:val="9"/>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B6123"/>
    <w:rsid w:val="000C0359"/>
    <w:rsid w:val="000C3239"/>
    <w:rsid w:val="000E47A7"/>
    <w:rsid w:val="000E76AE"/>
    <w:rsid w:val="000E7793"/>
    <w:rsid w:val="0014640A"/>
    <w:rsid w:val="00146E3F"/>
    <w:rsid w:val="001E4F65"/>
    <w:rsid w:val="001F0475"/>
    <w:rsid w:val="001F2AA1"/>
    <w:rsid w:val="001F4445"/>
    <w:rsid w:val="00290669"/>
    <w:rsid w:val="00293322"/>
    <w:rsid w:val="002A796E"/>
    <w:rsid w:val="002B33D1"/>
    <w:rsid w:val="002D3647"/>
    <w:rsid w:val="002F1C4C"/>
    <w:rsid w:val="002F5E1F"/>
    <w:rsid w:val="00314598"/>
    <w:rsid w:val="003172ED"/>
    <w:rsid w:val="00342853"/>
    <w:rsid w:val="00365188"/>
    <w:rsid w:val="00381202"/>
    <w:rsid w:val="003863CB"/>
    <w:rsid w:val="003876AD"/>
    <w:rsid w:val="00390FC4"/>
    <w:rsid w:val="003A588B"/>
    <w:rsid w:val="003C393A"/>
    <w:rsid w:val="00415BC6"/>
    <w:rsid w:val="0042005C"/>
    <w:rsid w:val="00437CAC"/>
    <w:rsid w:val="004448DA"/>
    <w:rsid w:val="004572A3"/>
    <w:rsid w:val="004627E1"/>
    <w:rsid w:val="004D77EB"/>
    <w:rsid w:val="005248E1"/>
    <w:rsid w:val="005319D6"/>
    <w:rsid w:val="0053416D"/>
    <w:rsid w:val="00537A6D"/>
    <w:rsid w:val="00542AD8"/>
    <w:rsid w:val="00552781"/>
    <w:rsid w:val="0055661F"/>
    <w:rsid w:val="005D1285"/>
    <w:rsid w:val="005D1EA7"/>
    <w:rsid w:val="00606E4A"/>
    <w:rsid w:val="00610814"/>
    <w:rsid w:val="00613952"/>
    <w:rsid w:val="00660850"/>
    <w:rsid w:val="006717C0"/>
    <w:rsid w:val="006E6827"/>
    <w:rsid w:val="0071349F"/>
    <w:rsid w:val="007425B9"/>
    <w:rsid w:val="00742EBC"/>
    <w:rsid w:val="00761D93"/>
    <w:rsid w:val="0078061F"/>
    <w:rsid w:val="007B7075"/>
    <w:rsid w:val="007D314E"/>
    <w:rsid w:val="007E2F1D"/>
    <w:rsid w:val="00810AC7"/>
    <w:rsid w:val="0083479A"/>
    <w:rsid w:val="008467EB"/>
    <w:rsid w:val="008667AF"/>
    <w:rsid w:val="00867557"/>
    <w:rsid w:val="00876D23"/>
    <w:rsid w:val="008863F0"/>
    <w:rsid w:val="008A7D9C"/>
    <w:rsid w:val="008B01D0"/>
    <w:rsid w:val="008C5FA7"/>
    <w:rsid w:val="008C745C"/>
    <w:rsid w:val="008D1B25"/>
    <w:rsid w:val="00920742"/>
    <w:rsid w:val="00944F25"/>
    <w:rsid w:val="00960526"/>
    <w:rsid w:val="009672F2"/>
    <w:rsid w:val="009961FB"/>
    <w:rsid w:val="009D4D07"/>
    <w:rsid w:val="009F7EA2"/>
    <w:rsid w:val="00A36730"/>
    <w:rsid w:val="00A66647"/>
    <w:rsid w:val="00A74A78"/>
    <w:rsid w:val="00AF09AE"/>
    <w:rsid w:val="00B51A2F"/>
    <w:rsid w:val="00B562FF"/>
    <w:rsid w:val="00B80EB3"/>
    <w:rsid w:val="00BC6657"/>
    <w:rsid w:val="00BF79D2"/>
    <w:rsid w:val="00C07818"/>
    <w:rsid w:val="00C17C85"/>
    <w:rsid w:val="00C66044"/>
    <w:rsid w:val="00C837CB"/>
    <w:rsid w:val="00CB5D88"/>
    <w:rsid w:val="00CC1099"/>
    <w:rsid w:val="00CF59FF"/>
    <w:rsid w:val="00D03C18"/>
    <w:rsid w:val="00D6327F"/>
    <w:rsid w:val="00D6505A"/>
    <w:rsid w:val="00D94926"/>
    <w:rsid w:val="00DA0AC1"/>
    <w:rsid w:val="00DA72DD"/>
    <w:rsid w:val="00DF1D09"/>
    <w:rsid w:val="00E03749"/>
    <w:rsid w:val="00E23DDE"/>
    <w:rsid w:val="00E256E0"/>
    <w:rsid w:val="00E323A0"/>
    <w:rsid w:val="00E35B0A"/>
    <w:rsid w:val="00E50363"/>
    <w:rsid w:val="00E54E91"/>
    <w:rsid w:val="00E96964"/>
    <w:rsid w:val="00EA7356"/>
    <w:rsid w:val="00EC140A"/>
    <w:rsid w:val="00EC7D87"/>
    <w:rsid w:val="00ED75FA"/>
    <w:rsid w:val="00EF2AC8"/>
    <w:rsid w:val="00F05542"/>
    <w:rsid w:val="00F076E4"/>
    <w:rsid w:val="00F336FC"/>
    <w:rsid w:val="00F469E1"/>
    <w:rsid w:val="00F5341D"/>
    <w:rsid w:val="00F64705"/>
    <w:rsid w:val="00F74EBF"/>
    <w:rsid w:val="00F84FB1"/>
    <w:rsid w:val="00F8656B"/>
    <w:rsid w:val="00F95C79"/>
    <w:rsid w:val="00F9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71349F"/>
    <w:pPr>
      <w:keepNext/>
      <w:keepLines/>
      <w:numPr>
        <w:numId w:val="20"/>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71349F"/>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CC1099"/>
    <w:pPr>
      <w:spacing w:after="200"/>
      <w:jc w:val="center"/>
    </w:pPr>
    <w:rPr>
      <w:b/>
      <w:iCs/>
      <w:szCs w:val="18"/>
    </w:rPr>
  </w:style>
  <w:style w:type="paragraph" w:styleId="NormalWeb">
    <w:name w:val="Normal (Web)"/>
    <w:basedOn w:val="Normal"/>
    <w:uiPriority w:val="99"/>
    <w:semiHidden/>
    <w:unhideWhenUsed/>
    <w:rsid w:val="0053416D"/>
    <w:pPr>
      <w:spacing w:before="100" w:beforeAutospacing="1" w:after="100" w:afterAutospacing="1" w:line="240" w:lineRule="auto"/>
      <w:jc w:val="left"/>
    </w:pPr>
    <w:rPr>
      <w:rFonts w:eastAsia="Times New Roman"/>
      <w:szCs w:val="24"/>
    </w:rPr>
  </w:style>
  <w:style w:type="character" w:styleId="Hyperlink">
    <w:name w:val="Hyperlink"/>
    <w:basedOn w:val="DefaultParagraphFont"/>
    <w:uiPriority w:val="99"/>
    <w:unhideWhenUsed/>
    <w:rsid w:val="0071349F"/>
    <w:rPr>
      <w:color w:val="0000FF"/>
      <w:u w:val="single"/>
    </w:rPr>
  </w:style>
  <w:style w:type="character" w:customStyle="1" w:styleId="mord">
    <w:name w:val="mord"/>
    <w:basedOn w:val="DefaultParagraphFont"/>
    <w:rsid w:val="008467EB"/>
  </w:style>
  <w:style w:type="character" w:customStyle="1" w:styleId="mopen">
    <w:name w:val="mopen"/>
    <w:basedOn w:val="DefaultParagraphFont"/>
    <w:rsid w:val="008467EB"/>
  </w:style>
  <w:style w:type="character" w:customStyle="1" w:styleId="mclose">
    <w:name w:val="mclose"/>
    <w:basedOn w:val="DefaultParagraphFont"/>
    <w:rsid w:val="008467EB"/>
  </w:style>
  <w:style w:type="character" w:customStyle="1" w:styleId="vlist-s">
    <w:name w:val="vlist-s"/>
    <w:basedOn w:val="DefaultParagraphFont"/>
    <w:rsid w:val="008C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71">
      <w:bodyDiv w:val="1"/>
      <w:marLeft w:val="0"/>
      <w:marRight w:val="0"/>
      <w:marTop w:val="0"/>
      <w:marBottom w:val="0"/>
      <w:divBdr>
        <w:top w:val="none" w:sz="0" w:space="0" w:color="auto"/>
        <w:left w:val="none" w:sz="0" w:space="0" w:color="auto"/>
        <w:bottom w:val="none" w:sz="0" w:space="0" w:color="auto"/>
        <w:right w:val="none" w:sz="0" w:space="0" w:color="auto"/>
      </w:divBdr>
    </w:div>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287472968">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64489427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33650742">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089228769">
      <w:bodyDiv w:val="1"/>
      <w:marLeft w:val="0"/>
      <w:marRight w:val="0"/>
      <w:marTop w:val="0"/>
      <w:marBottom w:val="0"/>
      <w:divBdr>
        <w:top w:val="none" w:sz="0" w:space="0" w:color="auto"/>
        <w:left w:val="none" w:sz="0" w:space="0" w:color="auto"/>
        <w:bottom w:val="none" w:sz="0" w:space="0" w:color="auto"/>
        <w:right w:val="none" w:sz="0" w:space="0" w:color="auto"/>
      </w:divBdr>
    </w:div>
    <w:div w:id="1102267278">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491218787">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45631734">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A25C1C"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21211D"/>
    <w:rsid w:val="002C53AF"/>
    <w:rsid w:val="002E599D"/>
    <w:rsid w:val="00396FA9"/>
    <w:rsid w:val="004431E9"/>
    <w:rsid w:val="00521D93"/>
    <w:rsid w:val="009D4708"/>
    <w:rsid w:val="00A25C1C"/>
    <w:rsid w:val="00B15946"/>
    <w:rsid w:val="00BB4F35"/>
    <w:rsid w:val="00CA0C45"/>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1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31ee99ad-dba9-4fcc-bd95-e0f2da71af7f&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1bb0acea-3488-40a8-b9cb-6b94f192973c&quot;,&quot;properties&quot;:{&quot;noteIndex&quot;:0},&quot;isEdited&quot;:false,&quot;manualOverride&quot;:{&quot;isManuallyOverridden&quot;:true,&quot;citeprocText&quot;:&quot;(Carvalho et al., 2019; Coandǎ et al., 2020)&quot;,&quot;manualOverrideText&quot;:&quot;(Carvalho et al., 2019)&quot;},&quot;citationTag&quot;:&quot;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c3609109-8cd6-4b97-a427-3ecc24b2fde9&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citationID&quot;:&quot;MENDELEY_CITATION_37e7e36c-f71e-42fb-949c-20153bde5056&quot;,&quot;properties&quot;:{&quot;noteIndex&quot;:0},&quot;isEdited&quot;:false,&quot;manualOverride&quot;:{&quot;isManuallyOverridden&quot;:false,&quot;citeprocText&quot;:&quot;(Kumar &amp;#38; Pal, 2023)&quot;,&quot;manualOverrideText&quot;:&quot;&quot;},&quot;citationTag&quot;:&quot;MENDELEY_CITATION_v3_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&quot;,&quot;citationItems&quot;:[{&quot;id&quot;:&quot;ac68ccb2-5d8c-3f1f-8a6e-9d74eb8da31b&quot;,&quot;itemData&quot;:{&quot;type&quot;:&quot;article-journal&quot;,&quot;id&quot;:&quot;ac68ccb2-5d8c-3f1f-8a6e-9d74eb8da31b&quot;,&quot;title&quot;:&quot;Machine Learning-based Electric Load Forecasting for Peak Demand Control in Smart Grid&quot;,&quot;author&quot;:[{&quot;family&quot;:&quot;Kumar&quot;,&quot;given&quot;:&quot;Manish&quot;,&quot;parse-names&quot;:false,&quot;dropping-particle&quot;:&quot;&quot;,&quot;non-dropping-particle&quot;:&quot;&quot;},{&quot;family&quot;:&quot;Pal&quot;,&quot;given&quot;:&quot;Nitai&quot;,&quot;parse-names&quot;:false,&quot;dropping-particle&quot;:&quot;&quot;,&quot;non-dropping-particle&quot;:&quot;&quot;}],&quot;container-title&quot;:&quot;Computers, Materials and Continua&quot;,&quot;DOI&quot;:&quot;10.32604/cmc.2022.032971&quot;,&quot;ISSN&quot;:&quot;15462226&quot;,&quot;issued&quot;:{&quot;date-parts&quot;:[[2023]]},&quot;abstract&quot;:&quot;Increasing energy demands due to factors such as population, globalization, and industrialization has led to increased challenges for existing energy infrastructure. Efficient ways of energy generation and energy consumption like smart grids and smart homes are implemented to face these challenges with reliable, cheap, and easily available sources of energy. Grid integration of renewable energy and other clean distributed generation is increasing continuously to reduce carbon and other air pollutants emissions. But the integration of distributed energy sources and increase in electric demand enhance instability in the grid. Short-term electrical load forecasting reduces the grid fluctuation and enhances the robustness and power quality of the grid. Electrical load forecasting in advance on the basic historical data modelling plays a crucial role in peak electrical demand control, reinforcement of the grid demand, and generation balancing with cost reduction. But accurate forecasting of electrical data is a very challenging task due to the nonstationary and nonlinearly nature of the data.Machine learning and artificial intelligence have recognized more accurate and reliable load forecastingmethods based on historical load data. The purpose of this study is to model the electrical load of Jajpur, Orissa Grid for forecasting of load using regression type machine learning algorithms Gaussian process regression (GPR). The historical electrical data and whether data of Jajpur is taken for modelling and simulation and the data is decided in such a way that the model will be considered to learn the connection among past, current, and future dependent variables, factors, and the relationship among data. Based on this modelling of data the network will be able to forecast the peak load of the electric grid one day ahead. The study is very helpful in grid stability and peak load control management.&quot;,&quot;issue&quot;:&quot;3&quot;,&quot;volume&quot;:&quot;74&quot;,&quot;container-title-short&quot;:&quot;&quot;},&quot;isTemporary&quot;:false}]},{&quot;citationID&quot;:&quot;MENDELEY_CITATION_44fce0c0-eb96-4eab-bd6c-caf661f90938&quot;,&quot;properties&quot;:{&quot;noteIndex&quot;:0},&quot;isEdited&quot;:false,&quot;manualOverride&quot;:{&quot;isManuallyOverridden&quot;:false,&quot;citeprocText&quot;:&quot;(Breviglieri et al., 2021; Janiesch et al., 2021)&quot;,&quot;manualOverrideText&quot;:&quot;&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Tag&quot;:&quot;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quot;},{&quot;citationID&quot;:&quot;MENDELEY_CITATION_dc4272e0-65cd-401b-a036-4c606068ee8d&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126e2c0-7d7f-452f-854d-7a0578a90e6f&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6CE03664-7462-4E99-A73D-811E0532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16</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2024-01-12T09:14:00Z</dcterms:created>
  <dcterms:modified xsi:type="dcterms:W3CDTF">2024-01-29T15:25:00Z</dcterms:modified>
</cp:coreProperties>
</file>