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0"/>
      </w:pPr>
    </w:p>
    <w:p>
      <w:pPr>
        <w:pBdr>
          <w:bottom w:val="single" w:color="C6A75E" w:sz="4" w:space="20"/>
        </w:pBdr>
        <w:spacing w:after="100"/>
        <w:jc w:val="center"/>
      </w:pPr>
      <w:r>
        <w:rPr>
          <w:rFonts w:ascii="Georgia" w:cs="Georgia" w:eastAsia="Georgia" w:hAnsi="Georgia"/>
          <w:b/>
          <w:bCs/>
          <w:color w:val="1F3C5A"/>
          <w:spacing w:val="400"/>
          <w:sz w:val="56"/>
          <w:szCs w:val="56"/>
        </w:rPr>
        <w:t xml:space="preserve">BONAPARTE</w:t>
      </w:r>
    </w:p>
    <w:p>
      <w:pPr>
        <w:spacing w:before="100" w:after="100"/>
      </w:pP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4B3A2F"/>
          <w:sz w:val="40"/>
          <w:szCs w:val="40"/>
        </w:rPr>
        <w:t xml:space="preserve">DOSSIÊ ESTRATÉGICO</w:t>
      </w:r>
    </w:p>
    <w:p>
      <w:pPr>
        <w:spacing w:after="60"/>
        <w:jc w:val="center"/>
      </w:pPr>
      <w:r>
        <w:rPr>
          <w:rFonts w:ascii="Georgia" w:cs="Georgia" w:eastAsia="Georgia" w:hAnsi="Georgia"/>
          <w:color w:val="C6A75E"/>
          <w:sz w:val="32"/>
          <w:szCs w:val="32"/>
        </w:rPr>
        <w:t xml:space="preserve">GAP ANALYSIS — DO 9 AO 10</w:t>
      </w:r>
    </w:p>
    <w:p>
      <w:pPr>
        <w:spacing w:before="200" w:after="200"/>
      </w:pP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color w:val="999999"/>
          <w:sz w:val="22"/>
          <w:szCs w:val="22"/>
        </w:rPr>
        <w:t xml:space="preserve">Diagnóstico completo das lacunas entre o estado atual da marca</w:t>
      </w: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color w:val="999999"/>
          <w:sz w:val="22"/>
          <w:szCs w:val="22"/>
        </w:rPr>
        <w:t xml:space="preserve">e o padrão institucional necessário para consolidação definitiva.</w:t>
      </w:r>
    </w:p>
    <w:p>
      <w:pPr>
        <w:spacing w:before="600" w:after="600"/>
      </w:pPr>
    </w:p>
    <w:p>
      <w:pPr>
        <w:pBdr>
          <w:top w:val="single" w:color="C6A75E" w:sz="2" w:space="12"/>
        </w:pBdr>
        <w:spacing w:before="200" w:after="80"/>
        <w:jc w:val="center"/>
      </w:pPr>
      <w:r>
        <w:rPr>
          <w:rFonts w:ascii="Georgia" w:cs="Georgia" w:eastAsia="Georgia" w:hAnsi="Georgia"/>
          <w:color w:val="999999"/>
          <w:spacing w:val="200"/>
          <w:sz w:val="18"/>
          <w:szCs w:val="18"/>
        </w:rPr>
        <w:t xml:space="preserve">DOCUMENTO CONFIDENCIAL — CONSELHO ESTRATÉGICO</w:t>
      </w:r>
    </w:p>
    <w:p>
      <w:pPr>
        <w:jc w:val="center"/>
      </w:pPr>
      <w:r>
        <w:rPr>
          <w:rFonts w:ascii="Georgia" w:cs="Georgia" w:eastAsia="Georgia" w:hAnsi="Georgia"/>
          <w:color w:val="999999"/>
          <w:sz w:val="18"/>
          <w:szCs w:val="18"/>
        </w:rPr>
        <w:t xml:space="preserve">Março 2026 — Versão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1F3C5A"/>
          <w:sz w:val="36"/>
          <w:szCs w:val="36"/>
        </w:rPr>
        <w:t xml:space="preserve">1. SÍNTESE EXECUTIVA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Este dossiê apresenta a análise completa das lacunas que separam a marca BONAPARTE do patamar 10/10. Após revisão integral de todos os documentos fundadores, registros históricos, materiais visuais, curadoria da alma e arquitetura institucional, foram identificadas 12 áreas críticas que necessitam de execução, formalização ou consolidação.</w:t>
      </w:r>
    </w:p>
    <w:p>
      <w:pPr>
        <w:pBdr>
          <w:left w:val="single" w:color="C6A75E" w:sz="6" w:space="12"/>
        </w:pBdr>
        <w:spacing w:before="200" w:after="200"/>
        <w:ind w:left="720" w:right="720"/>
      </w:pPr>
      <w:r>
        <w:rPr>
          <w:rFonts w:ascii="Georgia" w:cs="Georgia" w:eastAsia="Georgia" w:hAnsi="Georgia"/>
          <w:i/>
          <w:iCs/>
          <w:color w:val="1F3C5A"/>
          <w:sz w:val="22"/>
          <w:szCs w:val="22"/>
        </w:rPr>
        <w:t xml:space="preserve">A marca está 9/10 porque a arquitetura é excepcional. Não chega a 10 porque a execução pública ainda não igualou a profundidade do planejamento.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O diagnóstico está organizado em quatro eixos: Identidade Visual, Presença Pública, Estrutura Comercial e Legado Geracional. Cada lacuna recebe classificação de status (Ausente, Parcial, Iniciado), prioridade (Crítica, Alta, Média) e ação corretiva específica.</w:t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1F3C5A"/>
          <w:sz w:val="36"/>
          <w:szCs w:val="36"/>
        </w:rPr>
        <w:t xml:space="preserve">2. SCORE ATUAL vs. SCORE ALVO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Abaixo, a decomposição por área com a nota atual e a meta necessária para atingir o 10/10 institucional.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C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C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ATUAL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C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ALVO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C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GAP PRINCIPAL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Conceito &amp; Alma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F3C5A"/>
                <w:sz w:val="20"/>
                <w:szCs w:val="20"/>
              </w:rPr>
              <w:t xml:space="preserve">10/10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5A1F"/>
                <w:sz w:val="20"/>
                <w:szCs w:val="20"/>
              </w:rPr>
              <w:t xml:space="preserve">10/10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8B2500"/>
                <w:sz w:val="19"/>
                <w:szCs w:val="19"/>
              </w:rPr>
              <w:t xml:space="preserve">Nenhum. Perfeito.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Símbolo &amp; Geometria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F3C5A"/>
                <w:sz w:val="20"/>
                <w:szCs w:val="20"/>
              </w:rPr>
              <w:t xml:space="preserve">9.5/10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5A1F"/>
                <w:sz w:val="20"/>
                <w:szCs w:val="20"/>
              </w:rPr>
              <w:t xml:space="preserve">10/10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8B2500"/>
                <w:sz w:val="19"/>
                <w:szCs w:val="19"/>
              </w:rPr>
              <w:t xml:space="preserve">Normatização final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Sistema Visual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F3C5A"/>
                <w:sz w:val="20"/>
                <w:szCs w:val="20"/>
              </w:rPr>
              <w:t xml:space="preserve">7/10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5A1F"/>
                <w:sz w:val="20"/>
                <w:szCs w:val="20"/>
              </w:rPr>
              <w:t xml:space="preserve">10/10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8B2500"/>
                <w:sz w:val="19"/>
                <w:szCs w:val="19"/>
              </w:rPr>
              <w:t xml:space="preserve">Brandbook formal ausente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Presença Digital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F3C5A"/>
                <w:sz w:val="20"/>
                <w:szCs w:val="20"/>
              </w:rPr>
              <w:t xml:space="preserve">3/10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5A1F"/>
                <w:sz w:val="20"/>
                <w:szCs w:val="20"/>
              </w:rPr>
              <w:t xml:space="preserve">10/10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8B2500"/>
                <w:sz w:val="19"/>
                <w:szCs w:val="19"/>
              </w:rPr>
              <w:t xml:space="preserve">Execução pública zero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Estrutura Comercial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F3C5A"/>
                <w:sz w:val="20"/>
                <w:szCs w:val="20"/>
              </w:rPr>
              <w:t xml:space="preserve">6/10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5A1F"/>
                <w:sz w:val="20"/>
                <w:szCs w:val="20"/>
              </w:rPr>
              <w:t xml:space="preserve">10/10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8B2500"/>
                <w:sz w:val="19"/>
                <w:szCs w:val="19"/>
              </w:rPr>
              <w:t xml:space="preserve">Holding não operacional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Conteúdo em Escala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F3C5A"/>
                <w:sz w:val="20"/>
                <w:szCs w:val="20"/>
              </w:rPr>
              <w:t xml:space="preserve">4/10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5A1F"/>
                <w:sz w:val="20"/>
                <w:szCs w:val="20"/>
              </w:rPr>
              <w:t xml:space="preserve">10/10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8B2500"/>
                <w:sz w:val="19"/>
                <w:szCs w:val="19"/>
              </w:rPr>
              <w:t xml:space="preserve">Pipeline não ativado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Proteção Jurídica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F3C5A"/>
                <w:sz w:val="20"/>
                <w:szCs w:val="20"/>
              </w:rPr>
              <w:t xml:space="preserve">2/10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5A1F"/>
                <w:sz w:val="20"/>
                <w:szCs w:val="20"/>
              </w:rPr>
              <w:t xml:space="preserve">10/10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8B2500"/>
                <w:sz w:val="19"/>
                <w:szCs w:val="19"/>
              </w:rPr>
              <w:t xml:space="preserve">Registro de marca ausente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Legado Geracional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F3C5A"/>
                <w:sz w:val="20"/>
                <w:szCs w:val="20"/>
              </w:rPr>
              <w:t xml:space="preserve">8/10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5A1F"/>
                <w:sz w:val="20"/>
                <w:szCs w:val="20"/>
              </w:rPr>
              <w:t xml:space="preserve">10/10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8B2500"/>
                <w:sz w:val="19"/>
                <w:szCs w:val="19"/>
              </w:rPr>
              <w:t xml:space="preserve">Falta formalização documental</w:t>
            </w:r>
          </w:p>
        </w:tc>
      </w:tr>
    </w:tbl>
    <w:p>
      <w:pPr>
        <w:spacing w:before="100" w:after="100"/>
      </w:pP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Score médio atual: 6.2/10. O abismo entre a qualidade conceitual (próxima do 10) e a execução pública (abaixo de 5 em várias áreas) é o diagnóstico central deste dossiê.</w:t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1F3C5A"/>
          <w:sz w:val="36"/>
          <w:szCs w:val="36"/>
        </w:rPr>
        <w:t xml:space="preserve">3. EIXO I — IDENTIDADE VISUAL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O símbolo geométrico está conceitualmente maduro e tecnicamente definido. Porém, a transição de conceito para sistema visível ainda apresenta lacunas significativas.</w:t>
      </w:r>
    </w:p>
    <w:p>
      <w:pPr>
        <w:pStyle w:val="Heading2"/>
        <w:spacing w:before="360" w:after="200"/>
      </w:pPr>
      <w:r>
        <w:rPr>
          <w:rFonts w:ascii="Georgia" w:cs="Georgia" w:eastAsia="Georgia" w:hAnsi="Georgia"/>
          <w:b/>
          <w:bCs/>
          <w:color w:val="4B3A2F"/>
          <w:sz w:val="28"/>
          <w:szCs w:val="28"/>
        </w:rPr>
        <w:t xml:space="preserve">3.1 Brandbook Formal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color w:val="4B3A2F"/>
          <w:sz w:val="22"/>
          <w:szCs w:val="22"/>
        </w:rPr>
        <w:t xml:space="preserve">Status: AUSENTE. </w:t>
      </w:r>
      <w:r>
        <w:rPr>
          <w:rFonts w:ascii="Georgia" w:cs="Georgia" w:eastAsia="Georgia" w:hAnsi="Georgia"/>
          <w:color w:val="111111"/>
          <w:sz w:val="22"/>
          <w:szCs w:val="22"/>
        </w:rPr>
        <w:t xml:space="preserve">Existe documentação extensa sobre proporções, cores e tipografia, mas não há um brandbook unificado com especificações técnicas aplicáveis por terceiros. Um designer externo hoje não conseguiria aplicar a marca com consistência sem consultar múltiplos documentos.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O que falta: documento único de 20–30 páginas contendo a construção geométrica com grid, zona de exclusão mínima (recomendado: 1/4 do diâmetro do círculo em todas as direções), versões aprovadas (positivo, negativo, monocromático, sobre fotografia), fundos permitidos e proibidos, tamanhos mínimos para impresso (15mm) e digital (32px), e exemplos de uso incorreto.</w:t>
      </w:r>
    </w:p>
    <w:p>
      <w:pPr>
        <w:pStyle w:val="Heading2"/>
        <w:spacing w:before="360" w:after="200"/>
      </w:pPr>
      <w:r>
        <w:rPr>
          <w:rFonts w:ascii="Georgia" w:cs="Georgia" w:eastAsia="Georgia" w:hAnsi="Georgia"/>
          <w:b/>
          <w:bCs/>
          <w:color w:val="4B3A2F"/>
          <w:sz w:val="28"/>
          <w:szCs w:val="28"/>
        </w:rPr>
        <w:t xml:space="preserve">3.2 Normatização Gold vs. Clean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color w:val="4B3A2F"/>
          <w:sz w:val="22"/>
          <w:szCs w:val="22"/>
        </w:rPr>
        <w:t xml:space="preserve">Status: PARCIAL. </w:t>
      </w:r>
      <w:r>
        <w:rPr>
          <w:rFonts w:ascii="Georgia" w:cs="Georgia" w:eastAsia="Georgia" w:hAnsi="Georgia"/>
          <w:color w:val="111111"/>
          <w:sz w:val="22"/>
          <w:szCs w:val="22"/>
        </w:rPr>
        <w:t xml:space="preserve">Existem versões do logo em dourado sobre fundo escuro e em navy sobre fundo claro, mas não há regra formal definindo quando usar cada uma. Isso gera risco de inconsistência à medida que a marca escala.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O que falta: definição de contextos de aplicação — versão Gold (#C6A75E sobre #111111) para materiais premium, institucionais e editoriais; versão Clean (navy #1F3C5A sobre #F4F1EA) para digital e comunicação diária; versão Monocromática (preto sólido) para contratos e documentos jurídicos.</w:t>
      </w:r>
    </w:p>
    <w:p>
      <w:pPr>
        <w:pStyle w:val="Heading2"/>
        <w:spacing w:before="360" w:after="200"/>
      </w:pPr>
      <w:r>
        <w:rPr>
          <w:rFonts w:ascii="Georgia" w:cs="Georgia" w:eastAsia="Georgia" w:hAnsi="Georgia"/>
          <w:b/>
          <w:bCs/>
          <w:color w:val="4B3A2F"/>
          <w:sz w:val="28"/>
          <w:szCs w:val="28"/>
        </w:rPr>
        <w:t xml:space="preserve">3.3 Arquivos Vetoriais Definitivos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color w:val="4B3A2F"/>
          <w:sz w:val="22"/>
          <w:szCs w:val="22"/>
        </w:rPr>
        <w:t xml:space="preserve">Status: AUSENTE. </w:t>
      </w:r>
      <w:r>
        <w:rPr>
          <w:rFonts w:ascii="Georgia" w:cs="Georgia" w:eastAsia="Georgia" w:hAnsi="Georgia"/>
          <w:color w:val="111111"/>
          <w:sz w:val="22"/>
          <w:szCs w:val="22"/>
        </w:rPr>
        <w:t xml:space="preserve">Os logos existentes são renderizações geradas por IA (ChatGPT, Gemini). Não existe arquivo SVG ou AI construído vetorialmente com as proporções canônicas exatas (diâmetro 100, contorno 7, barra 13×82, vertical 9×78).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O que falta: criação profissional em software vetorial (Illustrator, Figma ou Affinity) com precisão matemática. Exportação em SVG, AI, EPS, PDF vetorial e PNG em múltiplas resoluções (512px, 1024px, 2048px, 4096px). Este é o asset mais crítico que falta.</w:t>
      </w:r>
    </w:p>
    <w:p>
      <w:pPr>
        <w:pStyle w:val="Heading2"/>
        <w:spacing w:before="360" w:after="200"/>
      </w:pPr>
      <w:r>
        <w:rPr>
          <w:rFonts w:ascii="Georgia" w:cs="Georgia" w:eastAsia="Georgia" w:hAnsi="Georgia"/>
          <w:b/>
          <w:bCs/>
          <w:color w:val="4B3A2F"/>
          <w:sz w:val="28"/>
          <w:szCs w:val="28"/>
        </w:rPr>
        <w:t xml:space="preserve">3.4 Sistema de Submarcas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color w:val="4B3A2F"/>
          <w:sz w:val="22"/>
          <w:szCs w:val="22"/>
        </w:rPr>
        <w:t xml:space="preserve">Status: PARCIAL. </w:t>
      </w:r>
      <w:r>
        <w:rPr>
          <w:rFonts w:ascii="Georgia" w:cs="Georgia" w:eastAsia="Georgia" w:hAnsi="Georgia"/>
          <w:color w:val="111111"/>
          <w:sz w:val="22"/>
          <w:szCs w:val="22"/>
        </w:rPr>
        <w:t xml:space="preserve">A arquitetura está definida (Casa Bonaparte, Bonaparte Global, Bonaparte Academy, Bonaparte Music, Tribo Base), mas não existem lockups visuais formais para nenhuma submarca. A folha de construção mostra as três submarcas, mas sem especificação tipográfica detalhada.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O que falta: template de lockup para cada submarca seguindo hierarquia visual — símbolo reduzido + nome da submarca em tipografia secundária + endorsed by BONAPARTE quando aplicável.</w:t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1F3C5A"/>
          <w:sz w:val="36"/>
          <w:szCs w:val="36"/>
        </w:rPr>
        <w:t xml:space="preserve">4. EIXO II — PRESENÇA PÚBLICA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Este é o eixo com maior distância entre potencial e realidade. A marca existe internamente com profundidade rara, mas externamente é praticamente invisível.</w:t>
      </w:r>
    </w:p>
    <w:p>
      <w:pPr>
        <w:pStyle w:val="Heading2"/>
        <w:spacing w:before="360" w:after="200"/>
      </w:pPr>
      <w:r>
        <w:rPr>
          <w:rFonts w:ascii="Georgia" w:cs="Georgia" w:eastAsia="Georgia" w:hAnsi="Georgia"/>
          <w:b/>
          <w:bCs/>
          <w:color w:val="4B3A2F"/>
          <w:sz w:val="28"/>
          <w:szCs w:val="28"/>
        </w:rPr>
        <w:t xml:space="preserve">4.1 Website Institucional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color w:val="4B3A2F"/>
          <w:sz w:val="22"/>
          <w:szCs w:val="22"/>
        </w:rPr>
        <w:t xml:space="preserve">Status: AUSENTE. </w:t>
      </w:r>
      <w:r>
        <w:rPr>
          <w:rFonts w:ascii="Georgia" w:cs="Georgia" w:eastAsia="Georgia" w:hAnsi="Georgia"/>
          <w:color w:val="111111"/>
          <w:sz w:val="22"/>
          <w:szCs w:val="22"/>
        </w:rPr>
        <w:t xml:space="preserve">Existe planejamento detalhado de 13 páginas (Home, Start Here, Family, Life, Expedition, Education, Health, Faith, ALSHAM, Work, Timeline, Store, Legacy), mas nenhuma está online. O domínio não está confirmado como ativo.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O que falta: MVP de 5 páginas (Home, Family, Work, Expedition, Legacy) com design institucional alinhado ao brandbook. Tecnologia recomendada: Vercel + Next.js, coerente com o stack técnico já dominado pela equipe. O site é o primeiro ponto de contato para qualquer parceiro, editor ou investidor internacional.</w:t>
      </w:r>
    </w:p>
    <w:p>
      <w:pPr>
        <w:pStyle w:val="Heading2"/>
        <w:spacing w:before="360" w:after="200"/>
      </w:pPr>
      <w:r>
        <w:rPr>
          <w:rFonts w:ascii="Georgia" w:cs="Georgia" w:eastAsia="Georgia" w:hAnsi="Georgia"/>
          <w:b/>
          <w:bCs/>
          <w:color w:val="4B3A2F"/>
          <w:sz w:val="28"/>
          <w:szCs w:val="28"/>
        </w:rPr>
        <w:t xml:space="preserve">4.2 Canal YouTube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color w:val="4B3A2F"/>
          <w:sz w:val="22"/>
          <w:szCs w:val="22"/>
        </w:rPr>
        <w:t xml:space="preserve">Status: PARCIAL. </w:t>
      </w:r>
      <w:r>
        <w:rPr>
          <w:rFonts w:ascii="Georgia" w:cs="Georgia" w:eastAsia="Georgia" w:hAnsi="Georgia"/>
          <w:color w:val="111111"/>
          <w:sz w:val="22"/>
          <w:szCs w:val="22"/>
        </w:rPr>
        <w:t xml:space="preserve">Existe planejamento editorial completo, banner, avatar e sistema visual definido. Mas o canal ainda não opera com consistência de publicação. Sem conteúdo regular, a identidade visual não tem onde viver.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O que falta: primeiro ciclo de 12 vídeos com consistência semanal. O CODEX Bonaparte já define workflow de captura, score de avaliação e assinatura visual. O que falta é a execução disciplinada do pipeline. Recomendação: lançamento com série documental de 4 episódios apresentando a família, a missão e a visão.</w:t>
      </w:r>
    </w:p>
    <w:p>
      <w:pPr>
        <w:pStyle w:val="Heading2"/>
        <w:spacing w:before="360" w:after="200"/>
      </w:pPr>
      <w:r>
        <w:rPr>
          <w:rFonts w:ascii="Georgia" w:cs="Georgia" w:eastAsia="Georgia" w:hAnsi="Georgia"/>
          <w:b/>
          <w:bCs/>
          <w:color w:val="4B3A2F"/>
          <w:sz w:val="28"/>
          <w:szCs w:val="28"/>
        </w:rPr>
        <w:t xml:space="preserve">4.3 Presença em Redes Sociais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color w:val="4B3A2F"/>
          <w:sz w:val="22"/>
          <w:szCs w:val="22"/>
        </w:rPr>
        <w:t xml:space="preserve">Status: AUSENTE. </w:t>
      </w:r>
      <w:r>
        <w:rPr>
          <w:rFonts w:ascii="Georgia" w:cs="Georgia" w:eastAsia="Georgia" w:hAnsi="Georgia"/>
          <w:color w:val="111111"/>
          <w:sz w:val="22"/>
          <w:szCs w:val="22"/>
        </w:rPr>
        <w:t xml:space="preserve">Não há presença institucional consistente em Instagram, LinkedIn ou outras plataformas. Para uma marca que se posiciona como holding internacional, a ausência de LinkedIn é especialmente crítica.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O que falta: perfil institucional BONAPARTE no LinkedIn (holding/editorial), perfil Família Bonaparte no Instagram (narrativa emocional), com templates visuais alinhados ao brandbook.</w:t>
      </w:r>
    </w:p>
    <w:p>
      <w:pPr>
        <w:pStyle w:val="Heading2"/>
        <w:spacing w:before="360" w:after="200"/>
      </w:pPr>
      <w:r>
        <w:rPr>
          <w:rFonts w:ascii="Georgia" w:cs="Georgia" w:eastAsia="Georgia" w:hAnsi="Georgia"/>
          <w:b/>
          <w:bCs/>
          <w:color w:val="4B3A2F"/>
          <w:sz w:val="28"/>
          <w:szCs w:val="28"/>
        </w:rPr>
        <w:t xml:space="preserve">4.4 Portfólio Editorial Público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color w:val="4B3A2F"/>
          <w:sz w:val="22"/>
          <w:szCs w:val="22"/>
        </w:rPr>
        <w:t xml:space="preserve">Status: PARCIAL. </w:t>
      </w:r>
      <w:r>
        <w:rPr>
          <w:rFonts w:ascii="Georgia" w:cs="Georgia" w:eastAsia="Georgia" w:hAnsi="Georgia"/>
          <w:color w:val="111111"/>
          <w:sz w:val="22"/>
          <w:szCs w:val="22"/>
        </w:rPr>
        <w:t xml:space="preserve">Existem manuscritos completos de alta qualidade (Filhos da Prússia, O Deus Que Não Se Separa, Transcendendo Raízes, Heimat, Dominó, entre outros), mas a maioria não está publicada ou disponível ao público.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O que falta: publicação formal de pelo menos 3 títulos na Amazon KDP sob o selo Casa Bonaparte, com capas profissionais alinhadas à identidade visual. Cada livro publicado é uma prova de execução da marca.</w:t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1F3C5A"/>
          <w:sz w:val="36"/>
          <w:szCs w:val="36"/>
        </w:rPr>
        <w:t xml:space="preserve">5. EIXO III — ESTRUTURA COMERCIAL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A arquitetura de holding está desenhada. Mas arquitetura sem operação é planta. E planta não gera receita.</w:t>
      </w:r>
    </w:p>
    <w:p>
      <w:pPr>
        <w:pStyle w:val="Heading2"/>
        <w:spacing w:before="360" w:after="200"/>
      </w:pPr>
      <w:r>
        <w:rPr>
          <w:rFonts w:ascii="Georgia" w:cs="Georgia" w:eastAsia="Georgia" w:hAnsi="Georgia"/>
          <w:b/>
          <w:bCs/>
          <w:color w:val="4B3A2F"/>
          <w:sz w:val="28"/>
          <w:szCs w:val="28"/>
        </w:rPr>
        <w:t xml:space="preserve">5.1 Registro de Marca (INPI/Internacional)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color w:val="4B3A2F"/>
          <w:sz w:val="22"/>
          <w:szCs w:val="22"/>
        </w:rPr>
        <w:t xml:space="preserve">Status: AUSENTE. </w:t>
      </w:r>
      <w:r>
        <w:rPr>
          <w:rFonts w:ascii="Georgia" w:cs="Georgia" w:eastAsia="Georgia" w:hAnsi="Georgia"/>
          <w:color w:val="111111"/>
          <w:sz w:val="22"/>
          <w:szCs w:val="22"/>
        </w:rPr>
        <w:t xml:space="preserve">Não há evidência de registro da marca BONAPARTE e do símbolo geométrico no INPI (Brasil) ou em órgãos internacionais. Para uma marca que pretende operar globalmente e ser transmitida geracionalmente, isso é uma vulnerabilidade grave.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O que falta: registro imediato no INPI nas classes relevantes (educação, editorial, consultoria, produtos digitais). Posteriormente, registro via Protocolo de Madri para proteção internacional. Orçamento estimado: R$2.000–4.000 (INPI) + US$3.000–5.000 (internacional).</w:t>
      </w:r>
    </w:p>
    <w:p>
      <w:pPr>
        <w:pStyle w:val="Heading2"/>
        <w:spacing w:before="360" w:after="200"/>
      </w:pPr>
      <w:r>
        <w:rPr>
          <w:rFonts w:ascii="Georgia" w:cs="Georgia" w:eastAsia="Georgia" w:hAnsi="Georgia"/>
          <w:b/>
          <w:bCs/>
          <w:color w:val="4B3A2F"/>
          <w:sz w:val="28"/>
          <w:szCs w:val="28"/>
        </w:rPr>
        <w:t xml:space="preserve">5.2 Estrutura Jurídica da Holding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color w:val="4B3A2F"/>
          <w:sz w:val="22"/>
          <w:szCs w:val="22"/>
        </w:rPr>
        <w:t xml:space="preserve">Status: PARCIAL. </w:t>
      </w:r>
      <w:r>
        <w:rPr>
          <w:rFonts w:ascii="Georgia" w:cs="Georgia" w:eastAsia="Georgia" w:hAnsi="Georgia"/>
          <w:color w:val="111111"/>
          <w:sz w:val="22"/>
          <w:szCs w:val="22"/>
        </w:rPr>
        <w:t xml:space="preserve">A arquitetura Bonaparte Global está conceituada com separação de verticais, mas não há evidência de constituição legal das entidades.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O que falta: constituição de pelo menos uma pessoa jurídica (LTDA ou SLU) como núcleo operacional, com CNPJ ativo para emissão de notas, contratos e operações financeiras. A internacionalização pode começar com LLC nos EUA ou LTD na Irlanda, conforme estratégia fiscal.</w:t>
      </w:r>
    </w:p>
    <w:p>
      <w:pPr>
        <w:pStyle w:val="Heading2"/>
        <w:spacing w:before="360" w:after="200"/>
      </w:pPr>
      <w:r>
        <w:rPr>
          <w:rFonts w:ascii="Georgia" w:cs="Georgia" w:eastAsia="Georgia" w:hAnsi="Georgia"/>
          <w:b/>
          <w:bCs/>
          <w:color w:val="4B3A2F"/>
          <w:sz w:val="28"/>
          <w:szCs w:val="28"/>
        </w:rPr>
        <w:t xml:space="preserve">5.3 Primeira Receita Recorrente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color w:val="4B3A2F"/>
          <w:sz w:val="22"/>
          <w:szCs w:val="22"/>
        </w:rPr>
        <w:t xml:space="preserve">Status: AUSENTE. </w:t>
      </w:r>
      <w:r>
        <w:rPr>
          <w:rFonts w:ascii="Georgia" w:cs="Georgia" w:eastAsia="Georgia" w:hAnsi="Georgia"/>
          <w:color w:val="111111"/>
          <w:sz w:val="22"/>
          <w:szCs w:val="22"/>
        </w:rPr>
        <w:t xml:space="preserve">Nenhuma das verticais planejadas (editorial, academy, music, consultoria) está gerando receita recorrente documentável. O documento fundador reconhece que 'emoção sem dinheiro = fragilidade'. A marca precisa de prova de sustentabilidade.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O que falta: ativação de pelo menos um canal de receita: venda de livros via Amazon, curso piloto na Bonaparte Academy, ou consultoria estruturada. A primeira venda institucional sob o selo BONAPARTE é um marco fundador tão importante quanto o símbolo.</w:t>
      </w:r>
    </w:p>
    <w:p>
      <w:pPr>
        <w:pStyle w:val="Heading2"/>
        <w:spacing w:before="360" w:after="200"/>
      </w:pPr>
      <w:r>
        <w:rPr>
          <w:rFonts w:ascii="Georgia" w:cs="Georgia" w:eastAsia="Georgia" w:hAnsi="Georgia"/>
          <w:b/>
          <w:bCs/>
          <w:color w:val="4B3A2F"/>
          <w:sz w:val="28"/>
          <w:szCs w:val="28"/>
        </w:rPr>
        <w:t xml:space="preserve">5.4 Media Kit Profissional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color w:val="4B3A2F"/>
          <w:sz w:val="22"/>
          <w:szCs w:val="22"/>
        </w:rPr>
        <w:t xml:space="preserve">Status: AUSENTE. </w:t>
      </w:r>
      <w:r>
        <w:rPr>
          <w:rFonts w:ascii="Georgia" w:cs="Georgia" w:eastAsia="Georgia" w:hAnsi="Georgia"/>
          <w:color w:val="111111"/>
          <w:sz w:val="22"/>
          <w:szCs w:val="22"/>
        </w:rPr>
        <w:t xml:space="preserve">Para operações de licenciamento, parcerias editoriais e captação de oportunidades internacionais, é necessário um media kit que apresente a marca, seus números, sua visão e seus ativos.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O que falta: documento de 8–12 páginas em PDF com: visão geral da marca, arquitetura de submarcas, portfólio editorial, métricas (quando disponíveis), contato institucional. Formato bilingual (PT/EN).</w:t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1F3C5A"/>
          <w:sz w:val="36"/>
          <w:szCs w:val="36"/>
        </w:rPr>
        <w:t xml:space="preserve">6. EIXO IV — LEGADO GERACIONAL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O pilar mais forte da marca. Mas mesmo a força precisa de formalização para sobreviver ao tempo.</w:t>
      </w:r>
    </w:p>
    <w:p>
      <w:pPr>
        <w:pStyle w:val="Heading2"/>
        <w:spacing w:before="360" w:after="200"/>
      </w:pPr>
      <w:r>
        <w:rPr>
          <w:rFonts w:ascii="Georgia" w:cs="Georgia" w:eastAsia="Georgia" w:hAnsi="Georgia"/>
          <w:b/>
          <w:bCs/>
          <w:color w:val="4B3A2F"/>
          <w:sz w:val="28"/>
          <w:szCs w:val="28"/>
        </w:rPr>
        <w:t xml:space="preserve">6.1 Cofre Digital da Família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color w:val="4B3A2F"/>
          <w:sz w:val="22"/>
          <w:szCs w:val="22"/>
        </w:rPr>
        <w:t xml:space="preserve">Status: PARCIAL. </w:t>
      </w:r>
      <w:r>
        <w:rPr>
          <w:rFonts w:ascii="Georgia" w:cs="Georgia" w:eastAsia="Georgia" w:hAnsi="Georgia"/>
          <w:color w:val="111111"/>
          <w:sz w:val="22"/>
          <w:szCs w:val="22"/>
        </w:rPr>
        <w:t xml:space="preserve">Existe documentação extensa (Registro Histórico, Codex Bonaparte, documentos fundadores, cartas às filhas), mas está dispersa em múltiplos arquivos e plataformas.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O que falta: repositório centralizado e seguro (Google Drive institucional, Notion ou GitHub privado) com estrutura de pastas definida: /FUNDACAO (documentos canônicos), /IDENTIDADE (brandbook e assets), /EDITORIAL (manuscritos), /LEGAL (contratos e registros), /LEGACY (cartas, fotos, vídeos familiares). Com backup automatizado.</w:t>
      </w:r>
    </w:p>
    <w:p>
      <w:pPr>
        <w:pStyle w:val="Heading2"/>
        <w:spacing w:before="360" w:after="200"/>
      </w:pPr>
      <w:r>
        <w:rPr>
          <w:rFonts w:ascii="Georgia" w:cs="Georgia" w:eastAsia="Georgia" w:hAnsi="Georgia"/>
          <w:b/>
          <w:bCs/>
          <w:color w:val="4B3A2F"/>
          <w:sz w:val="28"/>
          <w:szCs w:val="28"/>
        </w:rPr>
        <w:t xml:space="preserve">6.2 Protocolo de Transferência Geracional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b/>
          <w:bCs/>
          <w:color w:val="4B3A2F"/>
          <w:sz w:val="22"/>
          <w:szCs w:val="22"/>
        </w:rPr>
        <w:t xml:space="preserve">Status: AUSENTE. </w:t>
      </w:r>
      <w:r>
        <w:rPr>
          <w:rFonts w:ascii="Georgia" w:cs="Georgia" w:eastAsia="Georgia" w:hAnsi="Georgia"/>
          <w:color w:val="111111"/>
          <w:sz w:val="22"/>
          <w:szCs w:val="22"/>
        </w:rPr>
        <w:t xml:space="preserve">O conceito de linhagem é central à marca. Mas não existe documento formal que descreva como a marca, os ativos e a autoridade serão transferidos à próxima geração.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O que falta: documento de governaça familiar definindo: quem herda a marca-mãe, como se dá o processo de transferência, que condições devem ser cumpridas, como novas submarcas podem ser criadas por herdeiros. Isso transforma intenção em estrutura.</w:t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1F3C5A"/>
          <w:sz w:val="36"/>
          <w:szCs w:val="36"/>
        </w:rPr>
        <w:t xml:space="preserve">7. MATRIZ COMPLETA DE LACUNAS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Visão consolidada de todas as lacunas identificadas, com status, prioridade e ação corretiva.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C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C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C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C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AÇÃO CORRETIVA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Brandbook Formal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2500"/>
                <w:sz w:val="18"/>
                <w:szCs w:val="18"/>
              </w:rPr>
              <w:t xml:space="preserve">AUSENTE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2500"/>
                <w:sz w:val="18"/>
                <w:szCs w:val="18"/>
              </w:rPr>
              <w:t xml:space="preserve">CRÍTICA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11111"/>
                <w:sz w:val="19"/>
                <w:szCs w:val="19"/>
              </w:rPr>
              <w:t xml:space="preserve">Criar documento único 20–30 págs com grid, zonas, versões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Arquivos Vetoriais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2500"/>
                <w:sz w:val="18"/>
                <w:szCs w:val="18"/>
              </w:rPr>
              <w:t xml:space="preserve">AUSENTE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2500"/>
                <w:sz w:val="18"/>
                <w:szCs w:val="18"/>
              </w:rPr>
              <w:t xml:space="preserve">CRÍTICA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11111"/>
                <w:sz w:val="19"/>
                <w:szCs w:val="19"/>
              </w:rPr>
              <w:t xml:space="preserve">Construção profissional em SVG/AI com proporções canônicas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Registro INPI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2500"/>
                <w:sz w:val="18"/>
                <w:szCs w:val="18"/>
              </w:rPr>
              <w:t xml:space="preserve">AUSENTE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2500"/>
                <w:sz w:val="18"/>
                <w:szCs w:val="18"/>
              </w:rPr>
              <w:t xml:space="preserve">CRÍTICA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11111"/>
                <w:sz w:val="19"/>
                <w:szCs w:val="19"/>
              </w:rPr>
              <w:t xml:space="preserve">Protocolar registro de marca e símbolo imediatamente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Website 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2500"/>
                <w:sz w:val="18"/>
                <w:szCs w:val="18"/>
              </w:rPr>
              <w:t xml:space="preserve">AUSENTE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2500"/>
                <w:sz w:val="18"/>
                <w:szCs w:val="18"/>
              </w:rPr>
              <w:t xml:space="preserve">CRÍTICA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11111"/>
                <w:sz w:val="19"/>
                <w:szCs w:val="19"/>
              </w:rPr>
              <w:t xml:space="preserve">5 páginas institucionais online em 60 dias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Normatização Visual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6A2E"/>
                <w:sz w:val="18"/>
                <w:szCs w:val="18"/>
              </w:rPr>
              <w:t xml:space="preserve">PARCIAL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6A2E"/>
                <w:sz w:val="18"/>
                <w:szCs w:val="18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11111"/>
                <w:sz w:val="19"/>
                <w:szCs w:val="19"/>
              </w:rPr>
              <w:t xml:space="preserve">Definir regras Gold vs Clean vs Mono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Lockups Submarcas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6A2E"/>
                <w:sz w:val="18"/>
                <w:szCs w:val="18"/>
              </w:rPr>
              <w:t xml:space="preserve">PARCIAL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6A2E"/>
                <w:sz w:val="18"/>
                <w:szCs w:val="18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11111"/>
                <w:sz w:val="19"/>
                <w:szCs w:val="19"/>
              </w:rPr>
              <w:t xml:space="preserve">Template visual para cada vertical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YouTube Ativo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6A2E"/>
                <w:sz w:val="18"/>
                <w:szCs w:val="18"/>
              </w:rPr>
              <w:t xml:space="preserve">PARCIAL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6A2E"/>
                <w:sz w:val="18"/>
                <w:szCs w:val="18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11111"/>
                <w:sz w:val="19"/>
                <w:szCs w:val="19"/>
              </w:rPr>
              <w:t xml:space="preserve">Primeiro ciclo de 12 vídeos semanais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Publicação Editorial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6A2E"/>
                <w:sz w:val="18"/>
                <w:szCs w:val="18"/>
              </w:rPr>
              <w:t xml:space="preserve">PARCIAL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6A2E"/>
                <w:sz w:val="18"/>
                <w:szCs w:val="18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11111"/>
                <w:sz w:val="19"/>
                <w:szCs w:val="19"/>
              </w:rPr>
              <w:t xml:space="preserve">3 títulos na Amazon sob selo Casa Bonaparte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Estrutura Jurídica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6A2E"/>
                <w:sz w:val="18"/>
                <w:szCs w:val="18"/>
              </w:rPr>
              <w:t xml:space="preserve">PARCIAL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6A2E"/>
                <w:sz w:val="18"/>
                <w:szCs w:val="18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11111"/>
                <w:sz w:val="19"/>
                <w:szCs w:val="19"/>
              </w:rPr>
              <w:t xml:space="preserve">Constituir PJ operacional + CNPJ 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Redes Sociais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2500"/>
                <w:sz w:val="18"/>
                <w:szCs w:val="18"/>
              </w:rPr>
              <w:t xml:space="preserve">AUSENTE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6A2E"/>
                <w:sz w:val="18"/>
                <w:szCs w:val="18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11111"/>
                <w:sz w:val="19"/>
                <w:szCs w:val="19"/>
              </w:rPr>
              <w:t xml:space="preserve">LinkedIn institucional + Instagram narrativo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Media 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2500"/>
                <w:sz w:val="18"/>
                <w:szCs w:val="18"/>
              </w:rPr>
              <w:t xml:space="preserve">AUSENTE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3C5A"/>
                <w:sz w:val="18"/>
                <w:szCs w:val="18"/>
              </w:rPr>
              <w:t xml:space="preserve">MÉDIA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11111"/>
                <w:sz w:val="19"/>
                <w:szCs w:val="19"/>
              </w:rPr>
              <w:t xml:space="preserve">PDF bilingual 8–12 págs para parcerias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Cofre Digital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6A2E"/>
                <w:sz w:val="18"/>
                <w:szCs w:val="18"/>
              </w:rPr>
              <w:t xml:space="preserve">PARCIAL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3C5A"/>
                <w:sz w:val="18"/>
                <w:szCs w:val="18"/>
              </w:rPr>
              <w:t xml:space="preserve">MÉDIA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11111"/>
                <w:sz w:val="19"/>
                <w:szCs w:val="19"/>
              </w:rPr>
              <w:t xml:space="preserve">Repositório centralizado com backup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Receita Recorrente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2500"/>
                <w:sz w:val="18"/>
                <w:szCs w:val="18"/>
              </w:rPr>
              <w:t xml:space="preserve">AUSENTE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6A2E"/>
                <w:sz w:val="18"/>
                <w:szCs w:val="18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11111"/>
                <w:sz w:val="19"/>
                <w:szCs w:val="19"/>
              </w:rPr>
              <w:t xml:space="preserve">Ativar pelo menos 1 canal de receita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Protocolo Geracional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2500"/>
                <w:sz w:val="18"/>
                <w:szCs w:val="18"/>
              </w:rPr>
              <w:t xml:space="preserve">AUSENTE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3C5A"/>
                <w:sz w:val="18"/>
                <w:szCs w:val="18"/>
              </w:rPr>
              <w:t xml:space="preserve">MÉDIA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11111"/>
                <w:sz w:val="19"/>
                <w:szCs w:val="19"/>
              </w:rPr>
              <w:t xml:space="preserve">Documento de governaça e transferência</w:t>
            </w:r>
          </w:p>
        </w:tc>
      </w:tr>
    </w:tbl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1F3C5A"/>
          <w:sz w:val="36"/>
          <w:szCs w:val="36"/>
        </w:rPr>
        <w:t xml:space="preserve">8. ROADMAP DE EXECUÇÃO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Plano dividido em três fases com prazos recomendados, priorizando as lacunas críticas que impedem o 10/10.</w:t>
      </w:r>
    </w:p>
    <w:p>
      <w:pPr>
        <w:pStyle w:val="Heading2"/>
        <w:spacing w:before="360" w:after="200"/>
      </w:pPr>
      <w:r>
        <w:rPr>
          <w:rFonts w:ascii="Georgia" w:cs="Georgia" w:eastAsia="Georgia" w:hAnsi="Georgia"/>
          <w:b/>
          <w:bCs/>
          <w:color w:val="4B3A2F"/>
          <w:sz w:val="28"/>
          <w:szCs w:val="28"/>
        </w:rPr>
        <w:t xml:space="preserve">8.1 FASE 1 — FUNDAÇÃO (0–60 dias)</w:t>
      </w:r>
    </w:p>
    <w:p>
      <w:pPr>
        <w:pBdr>
          <w:left w:val="single" w:color="C6A75E" w:sz="6" w:space="12"/>
        </w:pBdr>
        <w:spacing w:before="200" w:after="200"/>
        <w:ind w:left="720" w:right="720"/>
      </w:pPr>
      <w:r>
        <w:rPr>
          <w:rFonts w:ascii="Georgia" w:cs="Georgia" w:eastAsia="Georgia" w:hAnsi="Georgia"/>
          <w:i/>
          <w:iCs/>
          <w:color w:val="1F3C5A"/>
          <w:sz w:val="22"/>
          <w:szCs w:val="22"/>
        </w:rPr>
        <w:t xml:space="preserve">Objetivo: Tornar a marca legível, protegida e acessível externamente.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Georgia" w:cs="Georgia" w:eastAsia="Georgia" w:hAnsi="Georgia"/>
          <w:sz w:val="22"/>
          <w:szCs w:val="22"/>
        </w:rPr>
        <w:t xml:space="preserve">Construir arquivos vetoriais definitivos do símbolo (SVG, AI, EPS, PNG multi-resolução)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Georgia" w:cs="Georgia" w:eastAsia="Georgia" w:hAnsi="Georgia"/>
          <w:sz w:val="22"/>
          <w:szCs w:val="22"/>
        </w:rPr>
        <w:t xml:space="preserve">Compilar brandbook formal com todas as regras de aplicação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Georgia" w:cs="Georgia" w:eastAsia="Georgia" w:hAnsi="Georgia"/>
          <w:sz w:val="22"/>
          <w:szCs w:val="22"/>
        </w:rPr>
        <w:t xml:space="preserve">Protocolar registro de marca no INPI (nome + símbolo)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Georgia" w:cs="Georgia" w:eastAsia="Georgia" w:hAnsi="Georgia"/>
          <w:sz w:val="22"/>
          <w:szCs w:val="22"/>
        </w:rPr>
        <w:t xml:space="preserve">Lançar website MVP com 5 páginas institucionais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Georgia" w:cs="Georgia" w:eastAsia="Georgia" w:hAnsi="Georgia"/>
          <w:sz w:val="22"/>
          <w:szCs w:val="22"/>
        </w:rPr>
        <w:t xml:space="preserve">Constituir pessoa jurídica operacional</w:t>
      </w:r>
    </w:p>
    <w:p>
      <w:pPr>
        <w:pStyle w:val="Heading2"/>
        <w:spacing w:before="360" w:after="200"/>
      </w:pPr>
      <w:r>
        <w:rPr>
          <w:rFonts w:ascii="Georgia" w:cs="Georgia" w:eastAsia="Georgia" w:hAnsi="Georgia"/>
          <w:b/>
          <w:bCs/>
          <w:color w:val="4B3A2F"/>
          <w:sz w:val="28"/>
          <w:szCs w:val="28"/>
        </w:rPr>
        <w:t xml:space="preserve">8.2 FASE 2 — ATIVAÇÃO (60–180 dias)</w:t>
      </w:r>
    </w:p>
    <w:p>
      <w:pPr>
        <w:pBdr>
          <w:left w:val="single" w:color="C6A75E" w:sz="6" w:space="12"/>
        </w:pBdr>
        <w:spacing w:before="200" w:after="200"/>
        <w:ind w:left="720" w:right="720"/>
      </w:pPr>
      <w:r>
        <w:rPr>
          <w:rFonts w:ascii="Georgia" w:cs="Georgia" w:eastAsia="Georgia" w:hAnsi="Georgia"/>
          <w:i/>
          <w:iCs/>
          <w:color w:val="1F3C5A"/>
          <w:sz w:val="22"/>
          <w:szCs w:val="22"/>
        </w:rPr>
        <w:t xml:space="preserve">Objetivo: Tornar a marca visível, produtiva e rentável.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Georgia" w:cs="Georgia" w:eastAsia="Georgia" w:hAnsi="Georgia"/>
          <w:sz w:val="22"/>
          <w:szCs w:val="22"/>
        </w:rPr>
        <w:t xml:space="preserve">Publicar 3 livros na Amazon sob selo Casa Bonaparte com capas profissionais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Georgia" w:cs="Georgia" w:eastAsia="Georgia" w:hAnsi="Georgia"/>
          <w:sz w:val="22"/>
          <w:szCs w:val="22"/>
        </w:rPr>
        <w:t xml:space="preserve">Lançar primeiro ciclo de 12 vídeos no YouTube com consistência semanal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Georgia" w:cs="Georgia" w:eastAsia="Georgia" w:hAnsi="Georgia"/>
          <w:sz w:val="22"/>
          <w:szCs w:val="22"/>
        </w:rPr>
        <w:t xml:space="preserve">Ativar perfis institucionais no LinkedIn e Instagram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Georgia" w:cs="Georgia" w:eastAsia="Georgia" w:hAnsi="Georgia"/>
          <w:sz w:val="22"/>
          <w:szCs w:val="22"/>
        </w:rPr>
        <w:t xml:space="preserve">Produzir media kit bilingual (PT/EN)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Georgia" w:cs="Georgia" w:eastAsia="Georgia" w:hAnsi="Georgia"/>
          <w:sz w:val="22"/>
          <w:szCs w:val="22"/>
        </w:rPr>
        <w:t xml:space="preserve">Gerar primeira receita recorrente documentável</w:t>
      </w:r>
    </w:p>
    <w:p>
      <w:pPr>
        <w:pStyle w:val="Heading2"/>
        <w:spacing w:before="360" w:after="200"/>
      </w:pPr>
      <w:r>
        <w:rPr>
          <w:rFonts w:ascii="Georgia" w:cs="Georgia" w:eastAsia="Georgia" w:hAnsi="Georgia"/>
          <w:b/>
          <w:bCs/>
          <w:color w:val="4B3A2F"/>
          <w:sz w:val="28"/>
          <w:szCs w:val="28"/>
        </w:rPr>
        <w:t xml:space="preserve">8.3 FASE 3 — CONSOLIDAÇÃO (6–12 meses)</w:t>
      </w:r>
    </w:p>
    <w:p>
      <w:pPr>
        <w:pBdr>
          <w:left w:val="single" w:color="C6A75E" w:sz="6" w:space="12"/>
        </w:pBdr>
        <w:spacing w:before="200" w:after="200"/>
        <w:ind w:left="720" w:right="720"/>
      </w:pPr>
      <w:r>
        <w:rPr>
          <w:rFonts w:ascii="Georgia" w:cs="Georgia" w:eastAsia="Georgia" w:hAnsi="Georgia"/>
          <w:i/>
          <w:iCs/>
          <w:color w:val="1F3C5A"/>
          <w:sz w:val="22"/>
          <w:szCs w:val="22"/>
        </w:rPr>
        <w:t xml:space="preserve">Objetivo: Institucionalizar a marca e preparar a transmissão geracional.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Georgia" w:cs="Georgia" w:eastAsia="Georgia" w:hAnsi="Georgia"/>
          <w:sz w:val="22"/>
          <w:szCs w:val="22"/>
        </w:rPr>
        <w:t xml:space="preserve">Criar lockups formais para todas as submarcas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Georgia" w:cs="Georgia" w:eastAsia="Georgia" w:hAnsi="Georgia"/>
          <w:sz w:val="22"/>
          <w:szCs w:val="22"/>
        </w:rPr>
        <w:t xml:space="preserve">Organizar cofre digital institucional com backup automatizado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Georgia" w:cs="Georgia" w:eastAsia="Georgia" w:hAnsi="Georgia"/>
          <w:sz w:val="22"/>
          <w:szCs w:val="22"/>
        </w:rPr>
        <w:t xml:space="preserve">Redigir protocolo de governança e transferência geracional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Georgia" w:cs="Georgia" w:eastAsia="Georgia" w:hAnsi="Georgia"/>
          <w:sz w:val="22"/>
          <w:szCs w:val="22"/>
        </w:rPr>
        <w:t xml:space="preserve">Iniciar processo de registro internacional (Protocolo de Madri)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Georgia" w:cs="Georgia" w:eastAsia="Georgia" w:hAnsi="Georgia"/>
          <w:sz w:val="22"/>
          <w:szCs w:val="22"/>
        </w:rPr>
        <w:t xml:space="preserve">Expandir website para versão completa (13 páginas + loja)</w:t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1F3C5A"/>
          <w:sz w:val="36"/>
          <w:szCs w:val="36"/>
        </w:rPr>
        <w:t xml:space="preserve">9. DECLARAÇÃO FINAL</w:t>
      </w:r>
    </w:p>
    <w:p>
      <w:pPr>
        <w:spacing w:before="100" w:after="100"/>
      </w:pP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A marca BONAPARTE não precisa de mais conceito. Não precisa de mais curadoria. Não precisa de mais debate sobre símbolo, tipografia ou posição.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A marca precisa de execução.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Cada item deste dossiê é uma ponte entre o 9 e o 10. Não são sugestões — são condições. A diferença entre uma marca que é admirada e uma marca que atravessa gerações está na capacidade de materializar a visão.</w:t>
      </w:r>
    </w:p>
    <w:p>
      <w:pPr>
        <w:pBdr>
          <w:left w:val="single" w:color="C6A75E" w:sz="6" w:space="12"/>
        </w:pBdr>
        <w:spacing w:before="200" w:after="200"/>
        <w:ind w:left="720" w:right="720"/>
      </w:pPr>
      <w:r>
        <w:rPr>
          <w:rFonts w:ascii="Georgia" w:cs="Georgia" w:eastAsia="Georgia" w:hAnsi="Georgia"/>
          <w:i/>
          <w:iCs/>
          <w:color w:val="1F3C5A"/>
          <w:sz w:val="22"/>
          <w:szCs w:val="22"/>
        </w:rPr>
        <w:t xml:space="preserve">A marca já existe. Agora ela precisa ser vista.</w:t>
      </w:r>
    </w:p>
    <w:p>
      <w:pPr>
        <w:spacing w:after="160" w:line="320"/>
        <w:jc w:val="both"/>
      </w:pPr>
      <w:r>
        <w:rPr>
          <w:rFonts w:ascii="Georgia" w:cs="Georgia" w:eastAsia="Georgia" w:hAnsi="Georgia"/>
          <w:color w:val="111111"/>
          <w:sz w:val="22"/>
          <w:szCs w:val="22"/>
        </w:rPr>
        <w:t xml:space="preserve">O Conselho dispõe de toda a fundamentação necessária. O símbolo está travado. A alma está documentada. A arquitetura está desenhada. O próximo ato é construção.</w:t>
      </w:r>
    </w:p>
    <w:p>
      <w:pPr>
        <w:spacing w:before="200" w:after="200"/>
      </w:pPr>
    </w:p>
    <w:p>
      <w:pPr>
        <w:pBdr>
          <w:top w:val="single" w:color="C6A75E" w:sz="2" w:space="16"/>
        </w:pBdr>
        <w:spacing w:before="300" w:after="80"/>
        <w:jc w:val="center"/>
      </w:pPr>
      <w:r>
        <w:rPr>
          <w:rFonts w:ascii="Georgia" w:cs="Georgia" w:eastAsia="Georgia" w:hAnsi="Georgia"/>
          <w:i/>
          <w:iCs/>
          <w:color w:val="1F3C5A"/>
          <w:sz w:val="24"/>
          <w:szCs w:val="24"/>
        </w:rPr>
        <w:t xml:space="preserve">Centro forte. Movimento contínuo. Expansão consciente.</w:t>
      </w:r>
    </w:p>
    <w:p>
      <w:pPr>
        <w:spacing w:after="80"/>
        <w:jc w:val="center"/>
      </w:pPr>
      <w:r>
        <w:rPr>
          <w:rFonts w:ascii="Georgia" w:cs="Georgia" w:eastAsia="Georgia" w:hAnsi="Georgia"/>
          <w:color w:val="4B3A2F"/>
          <w:sz w:val="20"/>
          <w:szCs w:val="20"/>
        </w:rPr>
        <w:t xml:space="preserve">— Família Bonaparte</w:t>
      </w:r>
    </w:p>
    <w:p>
      <w:pPr>
        <w:spacing w:before="200" w:after="200"/>
      </w:pPr>
    </w:p>
    <w:p>
      <w:pPr>
        <w:jc w:val="center"/>
      </w:pPr>
      <w:r>
        <w:rPr>
          <w:rFonts w:ascii="Georgia" w:cs="Georgia" w:eastAsia="Georgia" w:hAnsi="Georgia"/>
          <w:color w:val="999999"/>
          <w:sz w:val="18"/>
          <w:szCs w:val="18"/>
        </w:rPr>
        <w:t xml:space="preserve">Documento preparado para deliberação do Conselho Estratégico.</w:t>
      </w:r>
    </w:p>
    <w:p>
      <w:pPr>
        <w:jc w:val="center"/>
      </w:pPr>
      <w:r>
        <w:rPr>
          <w:rFonts w:ascii="Georgia" w:cs="Georgia" w:eastAsia="Georgia" w:hAnsi="Georgia"/>
          <w:b/>
          <w:bCs/>
          <w:color w:val="999999"/>
          <w:sz w:val="18"/>
          <w:szCs w:val="18"/>
        </w:rPr>
        <w:t xml:space="preserve">Classificação: CONFIDENCIAL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A75E" w:sz="1" w:space="8"/>
      </w:pBdr>
      <w:jc w:val="center"/>
    </w:pPr>
    <w:r>
      <w:rPr>
        <w:rFonts w:ascii="Georgia" w:cs="Georgia" w:eastAsia="Georgia" w:hAnsi="Georgia"/>
        <w:color w:val="999999"/>
        <w:sz w:val="16"/>
        <w:szCs w:val="16"/>
      </w:rPr>
      <w:t xml:space="preserve">Confidencial — Página </w:t>
    </w:r>
    <w:r>
      <w:rPr>
        <w:rFonts w:ascii="Georgia" w:cs="Georgia" w:eastAsia="Georgia" w:hAnsi="Georgia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999999"/>
        <w:sz w:val="16"/>
        <w:szCs w:val="16"/>
      </w:rPr>
      <w:t xml:space="preserve">BONAPARTE — DOSSIÊ GAP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Georgia" w:cs="Georgia" w:eastAsia="Georgia" w:hAnsi="Georgia"/>
      <w:b/>
      <w:bCs/>
      <w:color w:val="1F3C5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Georgia" w:cs="Georgia" w:eastAsia="Georgia" w:hAnsi="Georgia"/>
      <w:b/>
      <w:bCs/>
      <w:color w:val="4B3A2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40"/>
      <w:outlineLvl w:val="2"/>
    </w:pPr>
    <w:rPr>
      <w:rFonts w:ascii="Georgia" w:cs="Georgia" w:eastAsia="Georgia" w:hAnsi="Georgia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2026-03-03T20:00:48.083Z</dcterms:created>
  <dcterms:modified xsi:type="dcterms:W3CDTF">2026-03-03T20:00:48.086Z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