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1A3F6F" w:val="clear"/>
            <w:tcMar>
              <w:top w:type="dxa" w:w="280"/>
              <w:left w:type="dxa" w:w="360"/>
              <w:bottom w:type="dxa" w:w="280"/>
              <w:right w:type="dxa" w:w="200"/>
            </w:tcMar>
          </w:tcPr>
          <w:p>
            <w:r>
              <w:rPr>
                <w:rFonts w:ascii="Arial" w:cs="Arial" w:eastAsia="Arial" w:hAnsi="Arial"/>
                <w:b/>
                <w:bCs/>
                <w:color w:val="FFFFFF"/>
                <w:sz w:val="44"/>
                <w:szCs w:val="44"/>
              </w:rPr>
              <w:t xml:space="preserve">GARIMPO IA</w:t>
            </w:r>
          </w:p>
          <w:p>
            <w:r>
              <w:rPr>
                <w:rFonts w:ascii="Arial" w:cs="Arial" w:eastAsia="Arial" w:hAnsi="Arial"/>
                <w:color w:val="BBCCEE"/>
                <w:sz w:val="22"/>
                <w:szCs w:val="22"/>
              </w:rPr>
              <w:t xml:space="preserve">Plataforma Brasileira de Inteligência em Leilões e Oportunidades de Ativos</w:t>
            </w:r>
          </w:p>
        </w:tc>
        <w:tc>
          <w:tcPr>
            <w:tcW w:type="dxa" w:w="2860"/>
            <w:tcBorders>
              <w:top w:val="none" w:color="FFFFFF" w:sz="0"/>
              <w:left w:val="none" w:color="FFFFFF" w:sz="0"/>
              <w:bottom w:val="none" w:color="FFFFFF" w:sz="0"/>
              <w:right w:val="none" w:color="FFFFFF" w:sz="0"/>
            </w:tcBorders>
            <w:shd w:fill="F4A024" w:val="clear"/>
            <w:tcMar>
              <w:top w:type="dxa" w:w="280"/>
              <w:left w:type="dxa" w:w="200"/>
              <w:bottom w:type="dxa" w:w="280"/>
              <w:right w:type="dxa" w:w="200"/>
            </w:tcMar>
            <w:vAlign w:val="center"/>
          </w:tcPr>
          <w:p>
            <w:pPr>
              <w:jc w:val="center"/>
            </w:pPr>
            <w:r>
              <w:rPr>
                <w:rFonts w:ascii="Arial" w:cs="Arial" w:eastAsia="Arial" w:hAnsi="Arial"/>
                <w:b/>
                <w:bCs/>
                <w:color w:val="FFFFFF"/>
                <w:sz w:val="28"/>
                <w:szCs w:val="28"/>
              </w:rPr>
              <w:t xml:space="preserve">GARIMPO IA™</w:t>
            </w:r>
          </w:p>
          <w:p>
            <w:pPr>
              <w:jc w:val="center"/>
            </w:pPr>
            <w:r>
              <w:rPr>
                <w:rFonts w:ascii="Arial" w:cs="Arial" w:eastAsia="Arial" w:hAnsi="Arial"/>
                <w:color w:val="FFF0CC"/>
                <w:sz w:val="18"/>
                <w:szCs w:val="18"/>
              </w:rPr>
              <w:t xml:space="preserve">Market Briefing v1.0</w:t>
            </w:r>
          </w:p>
          <w:p>
            <w:pPr>
              <w:jc w:val="center"/>
            </w:pPr>
            <w:r>
              <w:rPr>
                <w:rFonts w:ascii="Arial" w:cs="Arial" w:eastAsia="Arial" w:hAnsi="Arial"/>
                <w:color w:val="FFF0CC"/>
                <w:sz w:val="18"/>
                <w:szCs w:val="18"/>
              </w:rPr>
              <w:t xml:space="preserve">Fevereiro 2026</w:t>
            </w:r>
          </w:p>
        </w:tc>
      </w:tr>
    </w:tbl>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0"/>
        <w:gridCol w:w="3200"/>
        <w:gridCol w:w="3180"/>
      </w:tblGrid>
      <w:tr>
        <w:tc>
          <w:tcPr>
            <w:tcBorders>
              <w:top w:val="single" w:color="CCCCCC" w:sz="1"/>
              <w:left w:val="single" w:color="CCCCCC" w:sz="1"/>
              <w:bottom w:val="single" w:color="CCCCCC" w:sz="1"/>
              <w:right w:val="single" w:color="CCCCCC" w:sz="1"/>
            </w:tcBorders>
            <w:shd w:fill="EAF1FB" w:val="clear"/>
            <w:tcMar>
              <w:top w:type="dxa" w:w="160"/>
              <w:left w:type="dxa" w:w="200"/>
              <w:bottom w:type="dxa" w:w="160"/>
              <w:right w:type="dxa" w:w="200"/>
            </w:tcMar>
          </w:tcPr>
          <w:p>
            <w:pPr>
              <w:jc w:val="center"/>
            </w:pPr>
            <w:r>
              <w:rPr>
                <w:rFonts w:ascii="Arial" w:cs="Arial" w:eastAsia="Arial" w:hAnsi="Arial"/>
                <w:sz w:val="48"/>
                <w:szCs w:val="48"/>
              </w:rPr>
              <w:t xml:space="preserve">🎯</w:t>
            </w:r>
          </w:p>
          <w:p>
            <w:pPr>
              <w:jc w:val="center"/>
            </w:pPr>
            <w:r>
              <w:rPr>
                <w:rFonts w:ascii="Arial" w:cs="Arial" w:eastAsia="Arial" w:hAnsi="Arial"/>
                <w:b/>
                <w:bCs/>
                <w:color w:val="1A3F6F"/>
                <w:sz w:val="22"/>
                <w:szCs w:val="22"/>
              </w:rPr>
              <w:t xml:space="preserve">Problema Real</w:t>
            </w:r>
          </w:p>
          <w:p>
            <w:r>
              <w:rPr>
                <w:rFonts w:ascii="Arial" w:cs="Arial" w:eastAsia="Arial" w:hAnsi="Arial"/>
                <w:color w:val="333333"/>
                <w:sz w:val="20"/>
                <w:szCs w:val="20"/>
              </w:rPr>
              <w:t xml:space="preserve">Ninguém centraliza e analisa oportunidades de ativos físicos em leilão com inteligência artificial no Brasil.</w:t>
            </w:r>
          </w:p>
        </w:tc>
        <w:tc>
          <w:tcPr>
            <w:tcBorders>
              <w:top w:val="single" w:color="CCCCCC" w:sz="1"/>
              <w:left w:val="single" w:color="CCCCCC" w:sz="1"/>
              <w:bottom w:val="single" w:color="CCCCCC" w:sz="1"/>
              <w:right w:val="single" w:color="CCCCCC" w:sz="1"/>
            </w:tcBorders>
            <w:shd w:fill="EAF1FB" w:val="clear"/>
            <w:tcMar>
              <w:top w:type="dxa" w:w="160"/>
              <w:left w:type="dxa" w:w="200"/>
              <w:bottom w:type="dxa" w:w="160"/>
              <w:right w:type="dxa" w:w="200"/>
            </w:tcMar>
          </w:tcPr>
          <w:p>
            <w:pPr>
              <w:jc w:val="center"/>
            </w:pPr>
            <w:r>
              <w:rPr>
                <w:rFonts w:ascii="Arial" w:cs="Arial" w:eastAsia="Arial" w:hAnsi="Arial"/>
                <w:sz w:val="48"/>
                <w:szCs w:val="48"/>
              </w:rPr>
              <w:t xml:space="preserve">💡</w:t>
            </w:r>
          </w:p>
          <w:p>
            <w:pPr>
              <w:jc w:val="center"/>
            </w:pPr>
            <w:r>
              <w:rPr>
                <w:rFonts w:ascii="Arial" w:cs="Arial" w:eastAsia="Arial" w:hAnsi="Arial"/>
                <w:b/>
                <w:bCs/>
                <w:color w:val="1A3F6F"/>
                <w:sz w:val="22"/>
                <w:szCs w:val="22"/>
              </w:rPr>
              <w:t xml:space="preserve">Solução</w:t>
            </w:r>
          </w:p>
          <w:p>
            <w:r>
              <w:rPr>
                <w:rFonts w:ascii="Arial" w:cs="Arial" w:eastAsia="Arial" w:hAnsi="Arial"/>
                <w:color w:val="333333"/>
                <w:sz w:val="20"/>
                <w:szCs w:val="20"/>
              </w:rPr>
              <w:t xml:space="preserve">Robô minerador 24/7 que captura, analisa e ranqueia as melhores oportunidades — carros, imóveis, fazendas e mais.</w:t>
            </w:r>
          </w:p>
        </w:tc>
        <w:tc>
          <w:tcPr>
            <w:tcBorders>
              <w:top w:val="single" w:color="CCCCCC" w:sz="1"/>
              <w:left w:val="single" w:color="CCCCCC" w:sz="1"/>
              <w:bottom w:val="single" w:color="CCCCCC" w:sz="1"/>
              <w:right w:val="single" w:color="CCCCCC" w:sz="1"/>
            </w:tcBorders>
            <w:shd w:fill="EAF1FB" w:val="clear"/>
            <w:tcMar>
              <w:top w:type="dxa" w:w="160"/>
              <w:left w:type="dxa" w:w="200"/>
              <w:bottom w:type="dxa" w:w="160"/>
              <w:right w:type="dxa" w:w="200"/>
            </w:tcMar>
          </w:tcPr>
          <w:p>
            <w:pPr>
              <w:jc w:val="center"/>
            </w:pPr>
            <w:r>
              <w:rPr>
                <w:rFonts w:ascii="Arial" w:cs="Arial" w:eastAsia="Arial" w:hAnsi="Arial"/>
                <w:sz w:val="48"/>
                <w:szCs w:val="48"/>
              </w:rPr>
              <w:t xml:space="preserve">💰</w:t>
            </w:r>
          </w:p>
          <w:p>
            <w:pPr>
              <w:jc w:val="center"/>
            </w:pPr>
            <w:r>
              <w:rPr>
                <w:rFonts w:ascii="Arial" w:cs="Arial" w:eastAsia="Arial" w:hAnsi="Arial"/>
                <w:b/>
                <w:bCs/>
                <w:color w:val="1A3F6F"/>
                <w:sz w:val="22"/>
                <w:szCs w:val="22"/>
              </w:rPr>
              <w:t xml:space="preserve">Mercado</w:t>
            </w:r>
          </w:p>
          <w:p>
            <w:r>
              <w:rPr>
                <w:rFonts w:ascii="Arial" w:cs="Arial" w:eastAsia="Arial" w:hAnsi="Arial"/>
                <w:color w:val="333333"/>
                <w:sz w:val="20"/>
                <w:szCs w:val="20"/>
              </w:rPr>
              <w:t xml:space="preserve">Potencial de R$ 180+ bilhões em ativos circulando anualmente em leilões e execuções no Brasil.</w:t>
            </w:r>
          </w:p>
        </w:tc>
      </w:tr>
    </w:tbl>
    <w:p>
      <w:pPr>
        <w:spacing w:before="160" w:after="160"/>
      </w:pPr>
      <w:r>
        <w:t xml:space="preserve"/>
      </w:r>
    </w:p>
    <w:p>
      <w:r>
        <w:br w:type="page"/>
      </w:r>
    </w:p>
    <w:p>
      <w:pPr>
        <w:shd w:fill="2B5EA7" w:val="clear"/>
        <w:spacing w:before="400" w:after="200"/>
      </w:pPr>
      <w:r>
        <w:rPr>
          <w:rFonts w:ascii="Arial" w:cs="Arial" w:eastAsia="Arial" w:hAnsi="Arial"/>
          <w:b/>
          <w:bCs/>
          <w:color w:val="FFFFFF"/>
          <w:sz w:val="26"/>
          <w:szCs w:val="26"/>
        </w:rPr>
        <w:t xml:space="preserve">  01. O PROBLEMA QUE RESOLVEMOS  </w:t>
      </w:r>
    </w:p>
    <w:p>
      <w:pPr>
        <w:spacing w:before="80" w:after="80"/>
      </w:pPr>
      <w:r>
        <w:t xml:space="preserve"/>
      </w:r>
    </w:p>
    <w:p>
      <w:pPr>
        <w:spacing w:before="80" w:after="120"/>
      </w:pPr>
      <w:r>
        <w:rPr>
          <w:rFonts w:ascii="Arial" w:cs="Arial" w:eastAsia="Arial" w:hAnsi="Arial"/>
          <w:color w:val="222222"/>
          <w:sz w:val="22"/>
          <w:szCs w:val="22"/>
        </w:rPr>
        <w:t xml:space="preserve">O Brasil é um dos maiores mercados de leilões de ativos físicos do mundo. Todos os anos, bilhões de reais em carros, imóveis, fazendas, maquinário e embarcações passam por leilões judiciais, extrajudiciais e bancários a preços muito abaixo do valor de mercado.</w:t>
      </w:r>
    </w:p>
    <w:p>
      <w:pPr>
        <w:spacing w:before="80" w:after="80"/>
      </w:pPr>
      <w:r>
        <w:t xml:space="preserve"/>
      </w:r>
    </w:p>
    <w:p>
      <w:pPr>
        <w:spacing w:before="80" w:after="120"/>
      </w:pPr>
      <w:r>
        <w:rPr>
          <w:rFonts w:ascii="Arial" w:cs="Arial" w:eastAsia="Arial" w:hAnsi="Arial"/>
          <w:color w:val="222222"/>
          <w:sz w:val="22"/>
          <w:szCs w:val="22"/>
        </w:rPr>
        <w:t xml:space="preserve">O problema é brutal na sua simplicidade: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bCs/>
                <w:color w:val="222222"/>
                <w:sz w:val="22"/>
                <w:szCs w:val="22"/>
              </w:rPr>
              <w:t xml:space="preserve">🔴 DIFICULDADE ATUAL</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CONSEQUÊNCIA</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val="false"/>
                <w:bCs w:val="false"/>
                <w:color w:val="222222"/>
                <w:sz w:val="22"/>
                <w:szCs w:val="22"/>
              </w:rPr>
              <w:t xml:space="preserve">Informações espalhadas em dezenas de sites</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O comprador não consegue monitorar tudo</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val="false"/>
                <w:bCs w:val="false"/>
                <w:color w:val="222222"/>
                <w:sz w:val="22"/>
                <w:szCs w:val="22"/>
              </w:rPr>
              <w:t xml:space="preserve">Sem análise de valor de mercado automática</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A pessoa não sabe se é realmente um bom negócio</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val="false"/>
                <w:bCs w:val="false"/>
                <w:color w:val="222222"/>
                <w:sz w:val="22"/>
                <w:szCs w:val="22"/>
              </w:rPr>
              <w:t xml:space="preserve">Sem histórico de lances anteriores</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Impossível prever onde o lance vai fechar</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val="false"/>
                <w:bCs w:val="false"/>
                <w:color w:val="222222"/>
                <w:sz w:val="22"/>
                <w:szCs w:val="22"/>
              </w:rPr>
              <w:t xml:space="preserve">Sem cálculo de custos e margem real</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Comprador subestima o investimento total</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val="false"/>
                <w:bCs w:val="false"/>
                <w:color w:val="222222"/>
                <w:sz w:val="22"/>
                <w:szCs w:val="22"/>
              </w:rPr>
              <w:t xml:space="preserve">Sem alerta em tempo real</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Oportunidades expiram antes de serem vistas</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val="false"/>
                <w:bCs w:val="false"/>
                <w:color w:val="222222"/>
                <w:sz w:val="22"/>
                <w:szCs w:val="22"/>
              </w:rPr>
              <w:t xml:space="preserve">Sites de leilão = vitrine passiva</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Exige que o usuário procure — não busca para ele</w:t>
            </w:r>
          </w:p>
        </w:tc>
      </w:tr>
    </w:tbl>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60"/>
              <w:left w:type="dxa" w:w="240"/>
              <w:bottom w:type="dxa" w:w="160"/>
              <w:right w:type="dxa" w:w="240"/>
            </w:tcMar>
          </w:tcPr>
          <w:p>
            <w:r>
              <w:rPr>
                <w:rFonts w:ascii="Arial" w:cs="Arial" w:eastAsia="Arial" w:hAnsi="Arial"/>
                <w:b/>
                <w:bCs/>
                <w:color w:val="1A3F6F"/>
                <w:sz w:val="24"/>
                <w:szCs w:val="24"/>
              </w:rPr>
              <w:t xml:space="preserve">O Insight Central</w:t>
            </w:r>
          </w:p>
          <w:p>
            <w:r>
              <w:rPr>
                <w:rFonts w:ascii="Arial" w:cs="Arial" w:eastAsia="Arial" w:hAnsi="Arial"/>
                <w:color w:val="333333"/>
                <w:sz w:val="22"/>
                <w:szCs w:val="22"/>
              </w:rPr>
              <w:t xml:space="preserve">Quem sabe PRIMEIRO e ANALISA MELHOR ganha. Um comprador informado com análise de IA tem vantagem absoluta sobre o mercado. Esse é o produto.</w:t>
            </w:r>
          </w:p>
        </w:tc>
      </w:tr>
    </w:tbl>
    <w:p>
      <w:pPr>
        <w:spacing w:before="160" w:after="160"/>
      </w:pPr>
      <w:r>
        <w:t xml:space="preserve"/>
      </w:r>
    </w:p>
    <w:p>
      <w:r>
        <w:br w:type="page"/>
      </w:r>
    </w:p>
    <w:p>
      <w:pPr>
        <w:shd w:fill="2B5EA7" w:val="clear"/>
        <w:spacing w:before="400" w:after="200"/>
      </w:pPr>
      <w:r>
        <w:rPr>
          <w:rFonts w:ascii="Arial" w:cs="Arial" w:eastAsia="Arial" w:hAnsi="Arial"/>
          <w:b/>
          <w:bCs/>
          <w:color w:val="FFFFFF"/>
          <w:sz w:val="26"/>
          <w:szCs w:val="26"/>
        </w:rPr>
        <w:t xml:space="preserve">  02. O PRODUTO — O QUE É O GARIMPO IA  </w:t>
      </w:r>
    </w:p>
    <w:p>
      <w:pPr>
        <w:spacing w:before="80" w:after="80"/>
      </w:pPr>
      <w:r>
        <w:t xml:space="preserve"/>
      </w:r>
    </w:p>
    <w:p>
      <w:pPr>
        <w:spacing w:before="80" w:after="120"/>
      </w:pPr>
      <w:r>
        <w:rPr>
          <w:rFonts w:ascii="Arial" w:cs="Arial" w:eastAsia="Arial" w:hAnsi="Arial"/>
          <w:color w:val="222222"/>
          <w:sz w:val="22"/>
          <w:szCs w:val="22"/>
        </w:rPr>
        <w:t xml:space="preserve">O Garimpo IA é uma plataforma SaaS de inteligência de mercado para ativos físicos em leilão. Um robô minerador monitora 24 horas por dia os principais sites de leilão do Brasil, captura as oportunidades, analisa cada uma com inteligência artificial e entrega ao assinante um score de 0 a 100 com análise financeira completa — incluindo custo total de aquisição, valor de mercado, lucro potencial e riscos identificados.</w:t>
      </w:r>
    </w:p>
    <w:p>
      <w:pPr>
        <w:spacing w:before="80" w:after="80"/>
      </w:pPr>
      <w:r>
        <w:t xml:space="preserve"/>
      </w:r>
    </w:p>
    <w:p>
      <w:pPr>
        <w:pStyle w:val="Heading2"/>
        <w:spacing w:before="320" w:after="160"/>
      </w:pPr>
      <w:r>
        <w:rPr>
          <w:rFonts w:ascii="Arial" w:cs="Arial" w:eastAsia="Arial" w:hAnsi="Arial"/>
          <w:b/>
          <w:bCs/>
          <w:color w:val="2B5EA7"/>
          <w:sz w:val="28"/>
          <w:szCs w:val="28"/>
        </w:rPr>
        <w:t xml:space="preserve">Como funciona para o usuário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920"/>
        <w:gridCol w:w="4920"/>
      </w:tblGrid>
      <w:tr>
        <w:tc>
          <w:tcPr>
            <w:tcW w:type="dxa" w:w="520"/>
            <w:tcBorders>
              <w:top w:val="single" w:color="CCCCCC" w:sz="1"/>
              <w:left w:val="single" w:color="CCCCCC" w:sz="1"/>
              <w:bottom w:val="single" w:color="CCCCCC" w:sz="1"/>
              <w:right w:val="single" w:color="CCCCCC" w:sz="1"/>
            </w:tcBorders>
            <w:shd w:fill="2B5EA7"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1</w:t>
            </w:r>
          </w:p>
        </w:tc>
        <w:tc>
          <w:tcPr>
            <w:tcW w:type="dxa" w:w="392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bCs/>
                <w:color w:val="1A3F6F"/>
                <w:sz w:val="22"/>
                <w:szCs w:val="22"/>
              </w:rPr>
              <w:t xml:space="preserve">Define seu perfil e orçamento</w:t>
            </w:r>
          </w:p>
        </w:tc>
        <w:tc>
          <w:tcPr>
            <w:tcW w:type="dxa" w:w="492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444444"/>
                <w:sz w:val="20"/>
                <w:szCs w:val="20"/>
              </w:rPr>
              <w:t xml:space="preserve">Ex: carros até R$ 25.000, fazendas no Tocantins, imóveis em Goiás</w:t>
            </w:r>
          </w:p>
        </w:tc>
      </w:tr>
      <w:tr>
        <w:tc>
          <w:tcPr>
            <w:tcW w:type="dxa" w:w="520"/>
            <w:tcBorders>
              <w:top w:val="single" w:color="CCCCCC" w:sz="1"/>
              <w:left w:val="single" w:color="CCCCCC" w:sz="1"/>
              <w:bottom w:val="single" w:color="CCCCCC" w:sz="1"/>
              <w:right w:val="single" w:color="CCCCCC" w:sz="1"/>
            </w:tcBorders>
            <w:shd w:fill="2B5EA7"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2</w:t>
            </w:r>
          </w:p>
        </w:tc>
        <w:tc>
          <w:tcPr>
            <w:tcW w:type="dxa" w:w="392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bCs/>
                <w:color w:val="1A3F6F"/>
                <w:sz w:val="22"/>
                <w:szCs w:val="22"/>
              </w:rPr>
              <w:t xml:space="preserve">O robô trabalha dormindo</w:t>
            </w:r>
          </w:p>
        </w:tc>
        <w:tc>
          <w:tcPr>
            <w:tcW w:type="dxa" w:w="492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444444"/>
                <w:sz w:val="20"/>
                <w:szCs w:val="20"/>
              </w:rPr>
              <w:t xml:space="preserve">Varredura automática a cada 6 horas em todos os sites cadastrados</w:t>
            </w:r>
          </w:p>
        </w:tc>
      </w:tr>
      <w:tr>
        <w:tc>
          <w:tcPr>
            <w:tcW w:type="dxa" w:w="520"/>
            <w:tcBorders>
              <w:top w:val="single" w:color="CCCCCC" w:sz="1"/>
              <w:left w:val="single" w:color="CCCCCC" w:sz="1"/>
              <w:bottom w:val="single" w:color="CCCCCC" w:sz="1"/>
              <w:right w:val="single" w:color="CCCCCC" w:sz="1"/>
            </w:tcBorders>
            <w:shd w:fill="2B5EA7"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3</w:t>
            </w:r>
          </w:p>
        </w:tc>
        <w:tc>
          <w:tcPr>
            <w:tcW w:type="dxa" w:w="392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bCs/>
                <w:color w:val="1A3F6F"/>
                <w:sz w:val="22"/>
                <w:szCs w:val="22"/>
              </w:rPr>
              <w:t xml:space="preserve">IA analisa cada oportunidade</w:t>
            </w:r>
          </w:p>
        </w:tc>
        <w:tc>
          <w:tcPr>
            <w:tcW w:type="dxa" w:w="492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444444"/>
                <w:sz w:val="20"/>
                <w:szCs w:val="20"/>
              </w:rPr>
              <w:t xml:space="preserve">Score, margem de lucro, riscos, histórico de preços do modelo</w:t>
            </w:r>
          </w:p>
        </w:tc>
      </w:tr>
      <w:tr>
        <w:tc>
          <w:tcPr>
            <w:tcW w:type="dxa" w:w="520"/>
            <w:tcBorders>
              <w:top w:val="single" w:color="CCCCCC" w:sz="1"/>
              <w:left w:val="single" w:color="CCCCCC" w:sz="1"/>
              <w:bottom w:val="single" w:color="CCCCCC" w:sz="1"/>
              <w:right w:val="single" w:color="CCCCCC" w:sz="1"/>
            </w:tcBorders>
            <w:shd w:fill="2B5EA7"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4</w:t>
            </w:r>
          </w:p>
        </w:tc>
        <w:tc>
          <w:tcPr>
            <w:tcW w:type="dxa" w:w="392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bCs/>
                <w:color w:val="1A3F6F"/>
                <w:sz w:val="22"/>
                <w:szCs w:val="22"/>
              </w:rPr>
              <w:t xml:space="preserve">Alerta chega antes de todo mundo</w:t>
            </w:r>
          </w:p>
        </w:tc>
        <w:tc>
          <w:tcPr>
            <w:tcW w:type="dxa" w:w="492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444444"/>
                <w:sz w:val="20"/>
                <w:szCs w:val="20"/>
              </w:rPr>
              <w:t xml:space="preserve">WhatsApp ou e-mail quando surge algo com score acima do seu critério</w:t>
            </w:r>
          </w:p>
        </w:tc>
      </w:tr>
      <w:tr>
        <w:tc>
          <w:tcPr>
            <w:tcW w:type="dxa" w:w="520"/>
            <w:tcBorders>
              <w:top w:val="single" w:color="CCCCCC" w:sz="1"/>
              <w:left w:val="single" w:color="CCCCCC" w:sz="1"/>
              <w:bottom w:val="single" w:color="CCCCCC" w:sz="1"/>
              <w:right w:val="single" w:color="CCCCCC" w:sz="1"/>
            </w:tcBorders>
            <w:shd w:fill="2B5EA7"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5</w:t>
            </w:r>
          </w:p>
        </w:tc>
        <w:tc>
          <w:tcPr>
            <w:tcW w:type="dxa" w:w="392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bCs/>
                <w:color w:val="1A3F6F"/>
                <w:sz w:val="22"/>
                <w:szCs w:val="22"/>
              </w:rPr>
              <w:t xml:space="preserve">Você decide com dados</w:t>
            </w:r>
          </w:p>
        </w:tc>
        <w:tc>
          <w:tcPr>
            <w:tcW w:type="dxa" w:w="492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444444"/>
                <w:sz w:val="20"/>
                <w:szCs w:val="20"/>
              </w:rPr>
              <w:t xml:space="preserve">Tela completa com análise financeira, fotos e link direto para o leilão</w:t>
            </w:r>
          </w:p>
        </w:tc>
      </w:tr>
    </w:tbl>
    <w:p>
      <w:pPr>
        <w:spacing w:before="160" w:after="160"/>
      </w:pPr>
      <w:r>
        <w:t xml:space="preserve"/>
      </w:r>
    </w:p>
    <w:p>
      <w:pPr>
        <w:pStyle w:val="Heading2"/>
        <w:spacing w:before="320" w:after="160"/>
      </w:pPr>
      <w:r>
        <w:rPr>
          <w:rFonts w:ascii="Arial" w:cs="Arial" w:eastAsia="Arial" w:hAnsi="Arial"/>
          <w:b/>
          <w:bCs/>
          <w:color w:val="2B5EA7"/>
          <w:sz w:val="28"/>
          <w:szCs w:val="28"/>
        </w:rPr>
        <w:t xml:space="preserve">O Card de Oportunidade — coração do produto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1FB" w:val="clear"/>
            <w:tcMar>
              <w:top w:type="dxa" w:w="200"/>
              <w:left w:type="dxa" w:w="240"/>
              <w:bottom w:type="dxa" w:w="200"/>
              <w:right w:type="dxa" w:w="240"/>
            </w:tcMar>
          </w:tcPr>
          <w:p>
            <w:r>
              <w:rPr>
                <w:rFonts w:ascii="Arial" w:cs="Arial" w:eastAsia="Arial" w:hAnsi="Arial"/>
                <w:b/>
                <w:bCs/>
                <w:color w:val="1A3F6F"/>
                <w:sz w:val="22"/>
                <w:szCs w:val="22"/>
              </w:rPr>
              <w:t xml:space="preserve">🔥  SCORE 94/100 — OPORTUNIDADE RARA</w:t>
            </w:r>
          </w:p>
          <w:p>
            <w:pPr>
              <w:spacing w:before="80" w:after="80"/>
            </w:pPr>
            <w:r>
              <w:t xml:space="preserve"/>
            </w:r>
          </w:p>
          <w:p>
            <w:r>
              <w:rPr>
                <w:rFonts w:ascii="Arial" w:cs="Arial" w:eastAsia="Arial" w:hAnsi="Arial"/>
                <w:b/>
                <w:bCs/>
                <w:color w:val="111111"/>
                <w:sz w:val="26"/>
                <w:szCs w:val="26"/>
              </w:rPr>
              <w:t xml:space="preserve">Citroën C4 Cactus Shine 2019</w:t>
            </w:r>
          </w:p>
          <w:p>
            <w:r>
              <w:rPr>
                <w:rFonts w:ascii="Arial" w:cs="Arial" w:eastAsia="Arial" w:hAnsi="Arial"/>
                <w:color w:val="666666"/>
                <w:sz w:val="20"/>
                <w:szCs w:val="20"/>
              </w:rPr>
              <w:t xml:space="preserve">31.400 km  |  Leilão em São Paulo</w:t>
            </w:r>
          </w:p>
          <w:p>
            <w:pPr>
              <w:spacing w:before="80" w:after="80"/>
            </w:pPr>
            <w:r>
              <w:t xml:space="preserve"/>
            </w:r>
          </w:p>
          <w:p>
            <w:r>
              <w:rPr>
                <w:rFonts w:ascii="Arial" w:cs="Arial" w:eastAsia="Arial" w:hAnsi="Arial"/>
                <w:color w:val="222222"/>
                <w:sz w:val="22"/>
                <w:szCs w:val="22"/>
              </w:rPr>
              <w:t xml:space="preserve">Lance atual:          R$ 8.200</w:t>
            </w:r>
          </w:p>
          <w:p>
            <w:r>
              <w:rPr>
                <w:rFonts w:ascii="Arial" w:cs="Arial" w:eastAsia="Arial" w:hAnsi="Arial"/>
                <w:color w:val="222222"/>
                <w:sz w:val="22"/>
                <w:szCs w:val="22"/>
              </w:rPr>
              <w:t xml:space="preserve">Valor FIPE:           R$ 34.000</w:t>
            </w:r>
          </w:p>
          <w:p>
            <w:r>
              <w:rPr>
                <w:rFonts w:ascii="Arial" w:cs="Arial" w:eastAsia="Arial" w:hAnsi="Arial"/>
                <w:color w:val="222222"/>
                <w:sz w:val="22"/>
                <w:szCs w:val="22"/>
              </w:rPr>
              <w:t xml:space="preserve">Total para investir:  R$ 9.450</w:t>
            </w:r>
          </w:p>
          <w:p>
            <w:r>
              <w:rPr>
                <w:rFonts w:ascii="Arial" w:cs="Arial" w:eastAsia="Arial" w:hAnsi="Arial"/>
                <w:b/>
                <w:bCs/>
                <w:color w:val="1A7A4A"/>
                <w:sz w:val="22"/>
                <w:szCs w:val="22"/>
              </w:rPr>
              <w:t xml:space="preserve">Venda estimada:       R$ 28.000</w:t>
            </w:r>
          </w:p>
          <w:p>
            <w:r>
              <w:rPr>
                <w:rFonts w:ascii="Arial" w:cs="Arial" w:eastAsia="Arial" w:hAnsi="Arial"/>
                <w:b/>
                <w:bCs/>
                <w:color w:val="1A7A4A"/>
                <w:sz w:val="24"/>
                <w:szCs w:val="24"/>
              </w:rPr>
              <w:t xml:space="preserve">LUCRO POTENCIAL:      R$ 18.550  (196%)</w:t>
            </w:r>
          </w:p>
          <w:p>
            <w:pPr>
              <w:spacing w:before="80" w:after="80"/>
            </w:pPr>
            <w:r>
              <w:t xml:space="preserve"/>
            </w:r>
          </w:p>
          <w:p>
            <w:r>
              <w:rPr>
                <w:rFonts w:ascii="Arial" w:cs="Arial" w:eastAsia="Arial" w:hAnsi="Arial"/>
                <w:b/>
                <w:bCs/>
                <w:color w:val="CC3300"/>
                <w:sz w:val="20"/>
                <w:szCs w:val="20"/>
              </w:rPr>
              <w:t xml:space="preserve">⏰ Leilão fecha em: 2d 14h 32min</w:t>
            </w:r>
          </w:p>
          <w:p>
            <w:pPr>
              <w:spacing w:before="80" w:after="80"/>
            </w:pPr>
            <w:r>
              <w:t xml:space="preserve"/>
            </w:r>
          </w:p>
          <w:p>
            <w:r>
              <w:rPr>
                <w:rFonts w:ascii="Arial" w:cs="Arial" w:eastAsia="Arial" w:hAnsi="Arial"/>
                <w:color w:val="666666"/>
                <w:sz w:val="19"/>
                <w:szCs w:val="19"/>
              </w:rPr>
              <w:t xml:space="preserve">⚠️ Risco identificado: Verificar histórico de sinistro. Peças com disponibilidade moderada.</w:t>
            </w:r>
          </w:p>
        </w:tc>
        <w:tc>
          <w:tcPr>
            <w:tcW w:type="dxa" w:w="4680"/>
            <w:tcBorders>
              <w:top w:val="single" w:color="CCCCCC" w:sz="1"/>
              <w:left w:val="single" w:color="CCCCCC" w:sz="1"/>
              <w:bottom w:val="single" w:color="CCCCCC" w:sz="1"/>
              <w:right w:val="single" w:color="CCCCCC" w:sz="1"/>
            </w:tcBorders>
            <w:shd w:fill="1A3F6F" w:val="clear"/>
            <w:tcMar>
              <w:top w:type="dxa" w:w="200"/>
              <w:left w:type="dxa" w:w="240"/>
              <w:bottom w:type="dxa" w:w="200"/>
              <w:right w:type="dxa" w:w="240"/>
            </w:tcMar>
          </w:tcPr>
          <w:p>
            <w:r>
              <w:rPr>
                <w:rFonts w:ascii="Arial" w:cs="Arial" w:eastAsia="Arial" w:hAnsi="Arial"/>
                <w:b/>
                <w:bCs/>
                <w:color w:val="F4A024"/>
                <w:sz w:val="20"/>
                <w:szCs w:val="20"/>
              </w:rPr>
              <w:t xml:space="preserve">POR QUE ESSE É UM BOM NEGÓCIO</w:t>
            </w:r>
          </w:p>
          <w:p>
            <w:pPr>
              <w:spacing w:before="80" w:after="80"/>
            </w:pPr>
            <w:r>
              <w:t xml:space="preserve"/>
            </w:r>
          </w:p>
          <w:p>
            <w:r>
              <w:rPr>
                <w:rFonts w:ascii="Arial" w:cs="Arial" w:eastAsia="Arial" w:hAnsi="Arial"/>
                <w:color w:val="FFFFFF"/>
                <w:sz w:val="20"/>
                <w:szCs w:val="20"/>
              </w:rPr>
              <w:t xml:space="preserve">• Raridade alta: modelo descontinuado, poucos no mercado</w:t>
            </w:r>
          </w:p>
          <w:p>
            <w:r>
              <w:rPr>
                <w:rFonts w:ascii="Arial" w:cs="Arial" w:eastAsia="Arial" w:hAnsi="Arial"/>
                <w:color w:val="FFFFFF"/>
                <w:sz w:val="20"/>
                <w:szCs w:val="20"/>
              </w:rPr>
              <w:t xml:space="preserve">• Preço 76% abaixo da tabela FIPE atual</w:t>
            </w:r>
          </w:p>
          <w:p>
            <w:r>
              <w:rPr>
                <w:rFonts w:ascii="Arial" w:cs="Arial" w:eastAsia="Arial" w:hAnsi="Arial"/>
                <w:color w:val="FFFFFF"/>
                <w:sz w:val="20"/>
                <w:szCs w:val="20"/>
              </w:rPr>
              <w:t xml:space="preserve">• Último leilão desse modelo fechou em R$ 19.500</w:t>
            </w:r>
          </w:p>
          <w:p>
            <w:r>
              <w:rPr>
                <w:rFonts w:ascii="Arial" w:cs="Arial" w:eastAsia="Arial" w:hAnsi="Arial"/>
                <w:color w:val="FFFFFF"/>
                <w:sz w:val="20"/>
                <w:szCs w:val="20"/>
              </w:rPr>
              <w:t xml:space="preserve">• KM baixo para o ano — 31.400 km</w:t>
            </w:r>
          </w:p>
          <w:p>
            <w:r>
              <w:rPr>
                <w:rFonts w:ascii="Arial" w:cs="Arial" w:eastAsia="Arial" w:hAnsi="Arial"/>
                <w:color w:val="FFFFFF"/>
                <w:sz w:val="20"/>
                <w:szCs w:val="20"/>
              </w:rPr>
              <w:t xml:space="preserve">• Liquidez média: 18 dias para vender no MercadoLivre</w:t>
            </w:r>
          </w:p>
          <w:p>
            <w:pPr>
              <w:spacing w:before="80" w:after="80"/>
            </w:pPr>
            <w:r>
              <w:t xml:space="preserve"/>
            </w:r>
          </w:p>
          <w:p>
            <w:r>
              <w:rPr>
                <w:rFonts w:ascii="Arial" w:cs="Arial" w:eastAsia="Arial" w:hAnsi="Arial"/>
                <w:b/>
                <w:bCs/>
                <w:color w:val="F4A024"/>
                <w:sz w:val="20"/>
                <w:szCs w:val="20"/>
              </w:rPr>
              <w:t xml:space="preserve">DETALHES BLOQUEADOS</w:t>
            </w:r>
          </w:p>
          <w:p>
            <w:r>
              <w:rPr>
                <w:rFonts w:ascii="Arial" w:cs="Arial" w:eastAsia="Arial" w:hAnsi="Arial"/>
                <w:color w:val="BBBBBB"/>
                <w:sz w:val="20"/>
                <w:szCs w:val="20"/>
              </w:rPr>
              <w:t xml:space="preserve">🔒 Site do leilão</w:t>
            </w:r>
          </w:p>
          <w:p>
            <w:r>
              <w:rPr>
                <w:rFonts w:ascii="Arial" w:cs="Arial" w:eastAsia="Arial" w:hAnsi="Arial"/>
                <w:color w:val="BBBBBB"/>
                <w:sz w:val="20"/>
                <w:szCs w:val="20"/>
              </w:rPr>
              <w:t xml:space="preserve">🔒 Número do lote</w:t>
            </w:r>
          </w:p>
          <w:p>
            <w:r>
              <w:rPr>
                <w:rFonts w:ascii="Arial" w:cs="Arial" w:eastAsia="Arial" w:hAnsi="Arial"/>
                <w:color w:val="BBBBBB"/>
                <w:sz w:val="20"/>
                <w:szCs w:val="20"/>
              </w:rPr>
              <w:t xml:space="preserve">🔒 Histórico completo de preços</w:t>
            </w:r>
          </w:p>
          <w:p>
            <w:pPr>
              <w:spacing w:before="80" w:after="80"/>
            </w:pPr>
            <w:r>
              <w:t xml:space="preserve"/>
            </w:r>
          </w:p>
          <w:p>
            <w:pPr>
              <w:jc w:val="center"/>
            </w:pPr>
            <w:r>
              <w:rPr>
                <w:rFonts w:ascii="Arial" w:cs="Arial" w:eastAsia="Arial" w:hAnsi="Arial"/>
                <w:b/>
                <w:bCs/>
                <w:color w:val="1A3F6F"/>
                <w:sz w:val="22"/>
                <w:szCs w:val="22"/>
              </w:rPr>
              <w:t xml:space="preserve">  ASSINE PARA DESBLOQUEAR  </w:t>
            </w:r>
          </w:p>
        </w:tc>
      </w:tr>
    </w:tbl>
    <w:p>
      <w:pPr>
        <w:spacing w:before="160" w:after="160"/>
      </w:pPr>
      <w:r>
        <w:t xml:space="preserve"/>
      </w:r>
    </w:p>
    <w:p>
      <w:r>
        <w:br w:type="page"/>
      </w:r>
    </w:p>
    <w:p>
      <w:pPr>
        <w:shd w:fill="2B5EA7" w:val="clear"/>
        <w:spacing w:before="400" w:after="200"/>
      </w:pPr>
      <w:r>
        <w:rPr>
          <w:rFonts w:ascii="Arial" w:cs="Arial" w:eastAsia="Arial" w:hAnsi="Arial"/>
          <w:b/>
          <w:bCs/>
          <w:color w:val="FFFFFF"/>
          <w:sz w:val="26"/>
          <w:szCs w:val="26"/>
        </w:rPr>
        <w:t xml:space="preserve">  03. ANÁLISE DE MERCADO  </w:t>
      </w:r>
    </w:p>
    <w:p>
      <w:pPr>
        <w:spacing w:before="80" w:after="80"/>
      </w:pPr>
      <w:r>
        <w:t xml:space="preserve"/>
      </w:r>
    </w:p>
    <w:p>
      <w:pPr>
        <w:spacing w:before="80" w:after="120"/>
      </w:pPr>
      <w:r>
        <w:rPr>
          <w:rFonts w:ascii="Arial" w:cs="Arial" w:eastAsia="Arial" w:hAnsi="Arial"/>
          <w:color w:val="222222"/>
          <w:sz w:val="22"/>
          <w:szCs w:val="22"/>
        </w:rPr>
        <w:t xml:space="preserve">O mercado brasileiro de leilões de ativos físicos movimenta mais de R$ 180 bilhões por ano entre os principais verticais. A competição inteligente — ou seja, plataformas que combinam mineração de dados com análise de IA — é virtualmente inexistente em todos esses segmentos.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c>
          <w:tcPr>
            <w:tcW w:type="dxa" w:w="2200"/>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CATEGORIA</w:t>
            </w:r>
          </w:p>
        </w:tc>
        <w:tc>
          <w:tcPr>
            <w:tcW w:type="dxa" w:w="2500"/>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MERCADO ESTIMADO BR</w:t>
            </w:r>
          </w:p>
        </w:tc>
        <w:tc>
          <w:tcPr>
            <w:tcW w:type="dxa" w:w="2500"/>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COMPETIÇÃO INTELIGENTE</w:t>
            </w:r>
          </w:p>
        </w:tc>
        <w:tc>
          <w:tcPr>
            <w:tcW w:type="dxa" w:w="2160"/>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OPORTUNIDADE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Carros em leilão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R$ 8 bilhões/ano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Praticamente zero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ALTA</w:t>
            </w:r>
          </w:p>
        </w:tc>
      </w:tr>
      <w:tr>
        <w:tc>
          <w:tcPr>
            <w:tcW w:type="dxa" w:w="22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Imóveis — execução bancária</w:t>
            </w:r>
          </w:p>
        </w:tc>
        <w:tc>
          <w:tcPr>
            <w:tcW w:type="dxa" w:w="25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R$ 40+ bilhões/ano</w:t>
            </w:r>
          </w:p>
        </w:tc>
        <w:tc>
          <w:tcPr>
            <w:tcW w:type="dxa" w:w="25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Zero</w:t>
            </w:r>
          </w:p>
        </w:tc>
        <w:tc>
          <w:tcPr>
            <w:tcW w:type="dxa" w:w="216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MÁXIMA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Fazendas e terras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R$ 120 bilhões/ano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Zero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MÁXIMA</w:t>
            </w:r>
          </w:p>
        </w:tc>
      </w:tr>
      <w:tr>
        <w:tc>
          <w:tcPr>
            <w:tcW w:type="dxa" w:w="22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Maquinário agrícola</w:t>
            </w:r>
          </w:p>
        </w:tc>
        <w:tc>
          <w:tcPr>
            <w:tcW w:type="dxa" w:w="25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R$ 18 bilhões/ano</w:t>
            </w:r>
          </w:p>
        </w:tc>
        <w:tc>
          <w:tcPr>
            <w:tcW w:type="dxa" w:w="25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Zero</w:t>
            </w:r>
          </w:p>
        </w:tc>
        <w:tc>
          <w:tcPr>
            <w:tcW w:type="dxa" w:w="216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ALTA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Barcos e embarcações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R$ 2 bilhões/ano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Zero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MÉDIA</w:t>
            </w:r>
          </w:p>
        </w:tc>
      </w:tr>
      <w:tr>
        <w:tc>
          <w:tcPr>
            <w:tcW w:type="dxa" w:w="22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Aviões leves / ultraleves</w:t>
            </w:r>
          </w:p>
        </w:tc>
        <w:tc>
          <w:tcPr>
            <w:tcW w:type="dxa" w:w="25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R$ 900 milhões/ano</w:t>
            </w:r>
          </w:p>
        </w:tc>
        <w:tc>
          <w:tcPr>
            <w:tcW w:type="dxa" w:w="25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Zero</w:t>
            </w:r>
          </w:p>
        </w:tc>
        <w:tc>
          <w:tcPr>
            <w:tcW w:type="dxa" w:w="216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NICHO</w:t>
            </w:r>
          </w:p>
        </w:tc>
      </w:tr>
    </w:tbl>
    <w:p>
      <w:pPr>
        <w:spacing w:before="160" w:after="160"/>
      </w:pPr>
      <w:r>
        <w:t xml:space="preserve"/>
      </w:r>
    </w:p>
    <w:p>
      <w:pPr>
        <w:pStyle w:val="Heading2"/>
        <w:spacing w:before="320" w:after="160"/>
      </w:pPr>
      <w:r>
        <w:rPr>
          <w:rFonts w:ascii="Arial" w:cs="Arial" w:eastAsia="Arial" w:hAnsi="Arial"/>
          <w:b/>
          <w:bCs/>
          <w:color w:val="2B5EA7"/>
          <w:sz w:val="28"/>
          <w:szCs w:val="28"/>
        </w:rPr>
        <w:t xml:space="preserve">Vantagem Geográfica — Tocantins e Centro-Oeste</w:t>
      </w:r>
    </w:p>
    <w:p>
      <w:pPr>
        <w:spacing w:before="80" w:after="80"/>
      </w:pPr>
      <w:r>
        <w:t xml:space="preserve"/>
      </w:r>
    </w:p>
    <w:p>
      <w:pPr>
        <w:spacing w:before="80" w:after="120"/>
      </w:pPr>
      <w:r>
        <w:rPr>
          <w:rFonts w:ascii="Arial" w:cs="Arial" w:eastAsia="Arial" w:hAnsi="Arial"/>
          <w:color w:val="222222"/>
          <w:sz w:val="22"/>
          <w:szCs w:val="22"/>
        </w:rPr>
        <w:t xml:space="preserve">A plataforma nasce com vantagem territorial única. O Tocantins concentra um dos maiores fluxos de compra e venda de fazendas, terras para agricultura e maquinário do país. Uma plataforma que conhece o território local, as peculiaridades do TJ-TO, dos cartórios e dos leiloeiros da região tem uma barreira de entrada que nenhum concorrente de São Paulo consegue replicar rapidamente.</w:t>
      </w:r>
    </w:p>
    <w:p>
      <w:pPr>
        <w:spacing w:before="160" w:after="160"/>
      </w:pPr>
      <w:r>
        <w:t xml:space="preserve"/>
      </w:r>
    </w:p>
    <w:p>
      <w:pPr>
        <w:pStyle w:val="Heading2"/>
        <w:spacing w:before="320" w:after="160"/>
      </w:pPr>
      <w:r>
        <w:rPr>
          <w:rFonts w:ascii="Arial" w:cs="Arial" w:eastAsia="Arial" w:hAnsi="Arial"/>
          <w:b/>
          <w:bCs/>
          <w:color w:val="2B5EA7"/>
          <w:sz w:val="28"/>
          <w:szCs w:val="28"/>
        </w:rPr>
        <w:t xml:space="preserve">Público-alvo primário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val="false"/>
                <w:bCs w:val="false"/>
                <w:color w:val="222222"/>
                <w:sz w:val="22"/>
                <w:szCs w:val="22"/>
              </w:rPr>
              <w:t xml:space="preserve">PERFIL</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TAMANHO E MOTIVAÇÃO</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val="false"/>
                <w:bCs w:val="false"/>
                <w:color w:val="222222"/>
                <w:sz w:val="22"/>
                <w:szCs w:val="22"/>
              </w:rPr>
              <w:t xml:space="preserve">Investidores em carros para revenda</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Revendedores e pessoas físicas que vivem de comprar barato e vender — mercado informal gigante no Brasil</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val="false"/>
                <w:bCs w:val="false"/>
                <w:color w:val="222222"/>
                <w:sz w:val="22"/>
                <w:szCs w:val="22"/>
              </w:rPr>
              <w:t xml:space="preserve">Investidores imobiliários pessoa física</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Quem busca imóvel abaixo do mercado para reformar e vender ou alugar</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val="false"/>
                <w:bCs w:val="false"/>
                <w:color w:val="222222"/>
                <w:sz w:val="22"/>
                <w:szCs w:val="22"/>
              </w:rPr>
              <w:t xml:space="preserve">Empresas e fazendeiros do agro</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Compra de maquinário e terras com desconto em leilão judicial</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val="false"/>
                <w:bCs w:val="false"/>
                <w:color w:val="222222"/>
                <w:sz w:val="22"/>
                <w:szCs w:val="22"/>
              </w:rPr>
              <w:t xml:space="preserve">Corretores de imóveis e despachantes</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Profissionais que querem ferramenta para oferecer mais valor ao cliente</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val="false"/>
                <w:bCs w:val="false"/>
                <w:color w:val="222222"/>
                <w:sz w:val="22"/>
                <w:szCs w:val="22"/>
              </w:rPr>
              <w:t xml:space="preserve">Traders de ativos físicos</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Perfil sofisticado que trata ativos físicos como investimento — mercado em expansão</w:t>
            </w:r>
          </w:p>
        </w:tc>
      </w:tr>
    </w:tbl>
    <w:p>
      <w:pPr>
        <w:spacing w:before="160" w:after="160"/>
      </w:pPr>
      <w:r>
        <w:t xml:space="preserve"/>
      </w:r>
    </w:p>
    <w:p>
      <w:r>
        <w:br w:type="page"/>
      </w:r>
    </w:p>
    <w:p>
      <w:pPr>
        <w:shd w:fill="2B5EA7" w:val="clear"/>
        <w:spacing w:before="400" w:after="200"/>
      </w:pPr>
      <w:r>
        <w:rPr>
          <w:rFonts w:ascii="Arial" w:cs="Arial" w:eastAsia="Arial" w:hAnsi="Arial"/>
          <w:b/>
          <w:bCs/>
          <w:color w:val="FFFFFF"/>
          <w:sz w:val="26"/>
          <w:szCs w:val="26"/>
        </w:rPr>
        <w:t xml:space="preserve">  04. MODELO DE NEGÓCIO  </w:t>
      </w:r>
    </w:p>
    <w:p>
      <w:pPr>
        <w:spacing w:before="80" w:after="80"/>
      </w:pPr>
      <w:r>
        <w:t xml:space="preserve"/>
      </w:r>
    </w:p>
    <w:p>
      <w:pPr>
        <w:pStyle w:val="Heading2"/>
        <w:spacing w:before="320" w:after="160"/>
      </w:pPr>
      <w:r>
        <w:rPr>
          <w:rFonts w:ascii="Arial" w:cs="Arial" w:eastAsia="Arial" w:hAnsi="Arial"/>
          <w:b/>
          <w:bCs/>
          <w:color w:val="2B5EA7"/>
          <w:sz w:val="28"/>
          <w:szCs w:val="28"/>
        </w:rPr>
        <w:t xml:space="preserve">Planos de assinatura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888888" w:val="clear"/>
            <w:tcMar>
              <w:top w:type="dxa" w:w="160"/>
              <w:left w:type="dxa" w:w="160"/>
              <w:bottom w:type="dxa" w:w="160"/>
              <w:right w:type="dxa" w:w="160"/>
            </w:tcMar>
          </w:tcPr>
          <w:p>
            <w:pPr>
              <w:jc w:val="center"/>
            </w:pPr>
            <w:r>
              <w:rPr>
                <w:rFonts w:ascii="Arial" w:cs="Arial" w:eastAsia="Arial" w:hAnsi="Arial"/>
                <w:b/>
                <w:bCs/>
                <w:color w:val="FFFFFF"/>
                <w:sz w:val="22"/>
                <w:szCs w:val="22"/>
              </w:rPr>
              <w:t xml:space="preserve">FREE</w:t>
            </w:r>
          </w:p>
          <w:p>
            <w:pPr>
              <w:jc w:val="center"/>
            </w:pPr>
            <w:r>
              <w:rPr>
                <w:rFonts w:ascii="Arial" w:cs="Arial" w:eastAsia="Arial" w:hAnsi="Arial"/>
                <w:b/>
                <w:bCs/>
                <w:color w:val="FFFFFF"/>
                <w:sz w:val="28"/>
                <w:szCs w:val="28"/>
              </w:rPr>
              <w:t xml:space="preserve">R$ 0</w:t>
            </w:r>
          </w:p>
        </w:tc>
        <w:tc>
          <w:tcPr>
            <w:tcW w:type="dxa" w:w="2340"/>
            <w:tcBorders>
              <w:top w:val="single" w:color="CCCCCC" w:sz="1"/>
              <w:left w:val="single" w:color="CCCCCC" w:sz="1"/>
              <w:bottom w:val="single" w:color="CCCCCC" w:sz="1"/>
              <w:right w:val="single" w:color="CCCCCC" w:sz="1"/>
            </w:tcBorders>
            <w:shd w:fill="2B5EA7" w:val="clear"/>
            <w:tcMar>
              <w:top w:type="dxa" w:w="160"/>
              <w:left w:type="dxa" w:w="160"/>
              <w:bottom w:type="dxa" w:w="160"/>
              <w:right w:type="dxa" w:w="160"/>
            </w:tcMar>
          </w:tcPr>
          <w:p>
            <w:pPr>
              <w:jc w:val="center"/>
            </w:pPr>
            <w:r>
              <w:rPr>
                <w:rFonts w:ascii="Arial" w:cs="Arial" w:eastAsia="Arial" w:hAnsi="Arial"/>
                <w:b/>
                <w:bCs/>
                <w:color w:val="FFFFFF"/>
                <w:sz w:val="22"/>
                <w:szCs w:val="22"/>
              </w:rPr>
              <w:t xml:space="preserve">GARIMPEIRO</w:t>
            </w:r>
          </w:p>
          <w:p>
            <w:pPr>
              <w:jc w:val="center"/>
            </w:pPr>
            <w:r>
              <w:rPr>
                <w:rFonts w:ascii="Arial" w:cs="Arial" w:eastAsia="Arial" w:hAnsi="Arial"/>
                <w:b/>
                <w:bCs/>
                <w:color w:val="FFFFFF"/>
                <w:sz w:val="28"/>
                <w:szCs w:val="28"/>
              </w:rPr>
              <w:t xml:space="preserve">R$ 97/mês</w:t>
            </w:r>
          </w:p>
        </w:tc>
        <w:tc>
          <w:tcPr>
            <w:tcW w:type="dxa" w:w="2340"/>
            <w:tcBorders>
              <w:top w:val="single" w:color="CCCCCC" w:sz="1"/>
              <w:left w:val="single" w:color="CCCCCC" w:sz="1"/>
              <w:bottom w:val="single" w:color="CCCCCC" w:sz="1"/>
              <w:right w:val="single" w:color="CCCCCC" w:sz="1"/>
            </w:tcBorders>
            <w:shd w:fill="1A3F6F" w:val="clear"/>
            <w:tcMar>
              <w:top w:type="dxa" w:w="160"/>
              <w:left w:type="dxa" w:w="160"/>
              <w:bottom w:type="dxa" w:w="160"/>
              <w:right w:type="dxa" w:w="160"/>
            </w:tcMar>
          </w:tcPr>
          <w:p>
            <w:pPr>
              <w:jc w:val="center"/>
            </w:pPr>
            <w:r>
              <w:rPr>
                <w:rFonts w:ascii="Arial" w:cs="Arial" w:eastAsia="Arial" w:hAnsi="Arial"/>
                <w:b/>
                <w:bCs/>
                <w:color w:val="FFFFFF"/>
                <w:sz w:val="22"/>
                <w:szCs w:val="22"/>
              </w:rPr>
              <w:t xml:space="preserve">CAÇADOR</w:t>
            </w:r>
          </w:p>
          <w:p>
            <w:pPr>
              <w:jc w:val="center"/>
            </w:pPr>
            <w:r>
              <w:rPr>
                <w:rFonts w:ascii="Arial" w:cs="Arial" w:eastAsia="Arial" w:hAnsi="Arial"/>
                <w:b/>
                <w:bCs/>
                <w:color w:val="FFFFFF"/>
                <w:sz w:val="28"/>
                <w:szCs w:val="28"/>
              </w:rPr>
              <w:t xml:space="preserve">R$ 197/mês</w:t>
            </w:r>
          </w:p>
        </w:tc>
        <w:tc>
          <w:tcPr>
            <w:tcW w:type="dxa" w:w="2340"/>
            <w:tcBorders>
              <w:top w:val="single" w:color="CCCCCC" w:sz="1"/>
              <w:left w:val="single" w:color="CCCCCC" w:sz="1"/>
              <w:bottom w:val="single" w:color="CCCCCC" w:sz="1"/>
              <w:right w:val="single" w:color="CCCCCC" w:sz="1"/>
            </w:tcBorders>
            <w:shd w:fill="F4A024" w:val="clear"/>
            <w:tcMar>
              <w:top w:type="dxa" w:w="160"/>
              <w:left w:type="dxa" w:w="160"/>
              <w:bottom w:type="dxa" w:w="160"/>
              <w:right w:type="dxa" w:w="160"/>
            </w:tcMar>
          </w:tcPr>
          <w:p>
            <w:pPr>
              <w:jc w:val="center"/>
            </w:pPr>
            <w:r>
              <w:rPr>
                <w:rFonts w:ascii="Arial" w:cs="Arial" w:eastAsia="Arial" w:hAnsi="Arial"/>
                <w:b/>
                <w:bCs/>
                <w:color w:val="FFFFFF"/>
                <w:sz w:val="22"/>
                <w:szCs w:val="22"/>
              </w:rPr>
              <w:t xml:space="preserve">ELITE</w:t>
            </w:r>
          </w:p>
          <w:p>
            <w:pPr>
              <w:jc w:val="center"/>
            </w:pPr>
            <w:r>
              <w:rPr>
                <w:rFonts w:ascii="Arial" w:cs="Arial" w:eastAsia="Arial" w:hAnsi="Arial"/>
                <w:b/>
                <w:bCs/>
                <w:color w:val="FFFFFF"/>
                <w:sz w:val="28"/>
                <w:szCs w:val="28"/>
              </w:rPr>
              <w:t xml:space="preserve">R$ 397/mês</w:t>
            </w:r>
          </w:p>
        </w:tc>
      </w:tr>
      <w:tr>
        <w:tc>
          <w:tcPr>
            <w:tcW w:type="dxa" w:w="2340"/>
            <w:tcBorders>
              <w:top w:val="single" w:color="CCCCCC" w:sz="1"/>
              <w:left w:val="single" w:color="CCCCCC" w:sz="1"/>
              <w:bottom w:val="single" w:color="CCCCCC" w:sz="1"/>
              <w:right w:val="single" w:color="CCCCCC" w:sz="1"/>
            </w:tcBorders>
            <w:tcMar>
              <w:top w:type="dxa" w:w="160"/>
              <w:left w:type="dxa" w:w="160"/>
              <w:bottom w:type="dxa" w:w="160"/>
              <w:right w:type="dxa" w:w="160"/>
            </w:tcMar>
          </w:tcPr>
          <w:p>
            <w:r>
              <w:rPr>
                <w:rFonts w:ascii="Arial" w:cs="Arial" w:eastAsia="Arial" w:hAnsi="Arial"/>
                <w:color w:val="333333"/>
                <w:sz w:val="19"/>
                <w:szCs w:val="19"/>
              </w:rPr>
              <w:t xml:space="preserve">Ver cards com score. Link e detalhes bloqueados. 5 alertas/mês.</w:t>
            </w:r>
          </w:p>
        </w:tc>
        <w:tc>
          <w:tcPr>
            <w:tcW w:type="dxa" w:w="2340"/>
            <w:tcBorders>
              <w:top w:val="single" w:color="CCCCCC" w:sz="1"/>
              <w:left w:val="single" w:color="CCCCCC" w:sz="1"/>
              <w:bottom w:val="single" w:color="CCCCCC" w:sz="1"/>
              <w:right w:val="single" w:color="CCCCCC" w:sz="1"/>
            </w:tcBorders>
            <w:tcMar>
              <w:top w:type="dxa" w:w="160"/>
              <w:left w:type="dxa" w:w="160"/>
              <w:bottom w:type="dxa" w:w="160"/>
              <w:right w:type="dxa" w:w="160"/>
            </w:tcMar>
          </w:tcPr>
          <w:p>
            <w:r>
              <w:rPr>
                <w:rFonts w:ascii="Arial" w:cs="Arial" w:eastAsia="Arial" w:hAnsi="Arial"/>
                <w:color w:val="333333"/>
                <w:sz w:val="19"/>
                <w:szCs w:val="19"/>
              </w:rPr>
              <w:t xml:space="preserve">1 vertical. Todos os links desbloqueados. 50 alertas. Análise financeira completa.</w:t>
            </w:r>
          </w:p>
        </w:tc>
        <w:tc>
          <w:tcPr>
            <w:tcW w:type="dxa" w:w="2340"/>
            <w:tcBorders>
              <w:top w:val="single" w:color="CCCCCC" w:sz="1"/>
              <w:left w:val="single" w:color="CCCCCC" w:sz="1"/>
              <w:bottom w:val="single" w:color="CCCCCC" w:sz="1"/>
              <w:right w:val="single" w:color="CCCCCC" w:sz="1"/>
            </w:tcBorders>
            <w:tcMar>
              <w:top w:type="dxa" w:w="160"/>
              <w:left w:type="dxa" w:w="160"/>
              <w:bottom w:type="dxa" w:w="160"/>
              <w:right w:type="dxa" w:w="160"/>
            </w:tcMar>
          </w:tcPr>
          <w:p>
            <w:r>
              <w:rPr>
                <w:rFonts w:ascii="Arial" w:cs="Arial" w:eastAsia="Arial" w:hAnsi="Arial"/>
                <w:color w:val="333333"/>
                <w:sz w:val="19"/>
                <w:szCs w:val="19"/>
              </w:rPr>
              <w:t xml:space="preserve">3 verticais. Alertas ilimitados. WhatsApp. Histórico de preços. Relatório semanal.</w:t>
            </w:r>
          </w:p>
        </w:tc>
        <w:tc>
          <w:tcPr>
            <w:tcW w:type="dxa" w:w="2340"/>
            <w:tcBorders>
              <w:top w:val="single" w:color="CCCCCC" w:sz="1"/>
              <w:left w:val="single" w:color="CCCCCC" w:sz="1"/>
              <w:bottom w:val="single" w:color="CCCCCC" w:sz="1"/>
              <w:right w:val="single" w:color="CCCCCC" w:sz="1"/>
            </w:tcBorders>
            <w:tcMar>
              <w:top w:type="dxa" w:w="160"/>
              <w:left w:type="dxa" w:w="160"/>
              <w:bottom w:type="dxa" w:w="160"/>
              <w:right w:type="dxa" w:w="160"/>
            </w:tcMar>
          </w:tcPr>
          <w:p>
            <w:r>
              <w:rPr>
                <w:rFonts w:ascii="Arial" w:cs="Arial" w:eastAsia="Arial" w:hAnsi="Arial"/>
                <w:color w:val="333333"/>
                <w:sz w:val="19"/>
                <w:szCs w:val="19"/>
              </w:rPr>
              <w:t xml:space="preserve">Todos os verticais. Alertas em tempo real. API access. White label básico. Suporte prioritário.</w:t>
            </w:r>
          </w:p>
        </w:tc>
      </w:tr>
    </w:tbl>
    <w:p>
      <w:pPr>
        <w:spacing w:before="160" w:after="160"/>
      </w:pPr>
      <w:r>
        <w:t xml:space="preserve"/>
      </w:r>
    </w:p>
    <w:p>
      <w:pPr>
        <w:pStyle w:val="Heading2"/>
        <w:spacing w:before="320" w:after="160"/>
      </w:pPr>
      <w:r>
        <w:rPr>
          <w:rFonts w:ascii="Arial" w:cs="Arial" w:eastAsia="Arial" w:hAnsi="Arial"/>
          <w:b/>
          <w:bCs/>
          <w:color w:val="2B5EA7"/>
          <w:sz w:val="28"/>
          <w:szCs w:val="28"/>
        </w:rPr>
        <w:t xml:space="preserve">Streams de receita adicionais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val="false"/>
                <w:bCs w:val="false"/>
                <w:color w:val="222222"/>
                <w:sz w:val="22"/>
                <w:szCs w:val="22"/>
              </w:rPr>
              <w:t xml:space="preserve">RECEITA</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DETALHAMENTO</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val="false"/>
                <w:bCs w:val="false"/>
                <w:color w:val="222222"/>
                <w:sz w:val="22"/>
                <w:szCs w:val="22"/>
              </w:rPr>
              <w:t xml:space="preserve">Comissão por deal fechado</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1-2% sobre negócios intermediados pela plataforma. Em imóvel de R$500k = R$5.000-10.000 por operação.</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val="false"/>
                <w:bCs w:val="false"/>
                <w:color w:val="222222"/>
                <w:sz w:val="22"/>
                <w:szCs w:val="22"/>
              </w:rPr>
              <w:t xml:space="preserve">Relatórios de inteligência de mercado</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Fundos, family offices e empresas pagam por dados consolidados de precificação e tendência de mercado.</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val="false"/>
                <w:bCs w:val="false"/>
                <w:color w:val="222222"/>
                <w:sz w:val="22"/>
                <w:szCs w:val="22"/>
              </w:rPr>
              <w:t xml:space="preserve">White label para corretores e leiloeiros</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Licença mensal para uso da plataforma com marca própria do parceiro.</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val="false"/>
                <w:bCs w:val="false"/>
                <w:color w:val="222222"/>
                <w:sz w:val="22"/>
                <w:szCs w:val="22"/>
              </w:rPr>
              <w:t xml:space="preserve">API para desenvolvedores</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Terceiros acessam os dados e scores por chamada de API — modelo pay-per-use.</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val="false"/>
                <w:bCs w:val="false"/>
                <w:color w:val="222222"/>
                <w:sz w:val="22"/>
                <w:szCs w:val="22"/>
              </w:rPr>
              <w:t xml:space="preserve">Parceria com leiloeiros</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Leiloeiros pagam para ter seus leilões destacados e bem analisados na plataforma.</w:t>
            </w:r>
          </w:p>
        </w:tc>
      </w:tr>
    </w:tbl>
    <w:p>
      <w:pPr>
        <w:spacing w:before="160" w:after="160"/>
      </w:pPr>
      <w:r>
        <w:t xml:space="preserve"/>
      </w:r>
    </w:p>
    <w:p>
      <w:pPr>
        <w:pStyle w:val="Heading2"/>
        <w:spacing w:before="320" w:after="160"/>
      </w:pPr>
      <w:r>
        <w:rPr>
          <w:rFonts w:ascii="Arial" w:cs="Arial" w:eastAsia="Arial" w:hAnsi="Arial"/>
          <w:b/>
          <w:bCs/>
          <w:color w:val="2B5EA7"/>
          <w:sz w:val="28"/>
          <w:szCs w:val="28"/>
        </w:rPr>
        <w:t xml:space="preserve">Projeção de receita conservadora — 12 meses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00"/>
        <w:gridCol w:w="1400"/>
        <w:gridCol w:w="1400"/>
        <w:gridCol w:w="1600"/>
        <w:gridCol w:w="2000"/>
      </w:tblGrid>
      <w:tr>
        <w:tc>
          <w:tcPr>
            <w:tcBorders>
              <w:top w:val="single" w:color="CCCCCC" w:sz="1"/>
              <w:left w:val="single" w:color="CCCCCC" w:sz="1"/>
              <w:bottom w:val="single" w:color="CCCCCC" w:sz="1"/>
              <w:right w:val="single" w:color="CCCCCC" w:sz="1"/>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MESES</w:t>
            </w:r>
          </w:p>
        </w:tc>
        <w:tc>
          <w:tcPr>
            <w:tcBorders>
              <w:top w:val="single" w:color="CCCCCC" w:sz="1"/>
              <w:left w:val="single" w:color="CCCCCC" w:sz="1"/>
              <w:bottom w:val="single" w:color="CCCCCC" w:sz="1"/>
              <w:right w:val="single" w:color="CCCCCC" w:sz="1"/>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ASSINANTES</w:t>
            </w:r>
          </w:p>
        </w:tc>
        <w:tc>
          <w:tcPr>
            <w:tcBorders>
              <w:top w:val="single" w:color="CCCCCC" w:sz="1"/>
              <w:left w:val="single" w:color="CCCCCC" w:sz="1"/>
              <w:bottom w:val="single" w:color="CCCCCC" w:sz="1"/>
              <w:right w:val="single" w:color="CCCCCC" w:sz="1"/>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TICKET MÉDIO</w:t>
            </w:r>
          </w:p>
        </w:tc>
        <w:tc>
          <w:tcPr>
            <w:tcBorders>
              <w:top w:val="single" w:color="CCCCCC" w:sz="1"/>
              <w:left w:val="single" w:color="CCCCCC" w:sz="1"/>
              <w:bottom w:val="single" w:color="CCCCCC" w:sz="1"/>
              <w:right w:val="single" w:color="CCCCCC" w:sz="1"/>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MRR</w:t>
            </w:r>
          </w:p>
        </w:tc>
        <w:tc>
          <w:tcPr>
            <w:tcBorders>
              <w:top w:val="single" w:color="CCCCCC" w:sz="1"/>
              <w:left w:val="single" w:color="CCCCCC" w:sz="1"/>
              <w:bottom w:val="single" w:color="CCCCCC" w:sz="1"/>
              <w:right w:val="single" w:color="CCCCCC" w:sz="1"/>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DEALS</w:t>
            </w:r>
          </w:p>
        </w:tc>
        <w:tc>
          <w:tcPr>
            <w:tcBorders>
              <w:top w:val="single" w:color="CCCCCC" w:sz="1"/>
              <w:left w:val="single" w:color="CCCCCC" w:sz="1"/>
              <w:bottom w:val="single" w:color="CCCCCC" w:sz="1"/>
              <w:right w:val="single" w:color="CCCCCC" w:sz="1"/>
            </w:tcBorders>
            <w:shd w:fill="2B5EA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RECEITA TOTAL</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50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R$ 97</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R$ 4.850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A7A4A"/>
                <w:sz w:val="20"/>
                <w:szCs w:val="20"/>
              </w:rPr>
              <w:t xml:space="preserve">R$ 4.850</w:t>
            </w:r>
          </w:p>
        </w:tc>
      </w:tr>
      <w:tr>
        <w:tc>
          <w:tcPr>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3-4</w:t>
            </w:r>
          </w:p>
        </w:tc>
        <w:tc>
          <w:tcPr>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200</w:t>
            </w:r>
          </w:p>
        </w:tc>
        <w:tc>
          <w:tcPr>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R$ 147</w:t>
            </w:r>
          </w:p>
        </w:tc>
        <w:tc>
          <w:tcPr>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R$ 29.400</w:t>
            </w:r>
          </w:p>
        </w:tc>
        <w:tc>
          <w:tcPr>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R$ 8.000</w:t>
            </w:r>
          </w:p>
        </w:tc>
        <w:tc>
          <w:tcPr>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pPr>
              <w:jc w:val="center"/>
            </w:pPr>
            <w:r>
              <w:rPr>
                <w:rFonts w:ascii="Arial" w:cs="Arial" w:eastAsia="Arial" w:hAnsi="Arial"/>
                <w:b/>
                <w:bCs/>
                <w:color w:val="1A7A4A"/>
                <w:sz w:val="20"/>
                <w:szCs w:val="20"/>
              </w:rPr>
              <w:t xml:space="preserve">R$ 37.400</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600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R$ 197</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R$ 118.200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R$ 30.000</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A7A4A"/>
                <w:sz w:val="20"/>
                <w:szCs w:val="20"/>
              </w:rPr>
              <w:t xml:space="preserve">R$ 148.200</w:t>
            </w:r>
          </w:p>
        </w:tc>
      </w:tr>
      <w:tr>
        <w:tc>
          <w:tcPr>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12</w:t>
            </w:r>
          </w:p>
        </w:tc>
        <w:tc>
          <w:tcPr>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2.000</w:t>
            </w:r>
          </w:p>
        </w:tc>
        <w:tc>
          <w:tcPr>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R$ 247</w:t>
            </w:r>
          </w:p>
        </w:tc>
        <w:tc>
          <w:tcPr>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R$ 494.000</w:t>
            </w:r>
          </w:p>
        </w:tc>
        <w:tc>
          <w:tcPr>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pPr>
              <w:jc w:val="center"/>
            </w:pPr>
            <w:r>
              <w:rPr>
                <w:rFonts w:ascii="Arial" w:cs="Arial" w:eastAsia="Arial" w:hAnsi="Arial"/>
                <w:b w:val="false"/>
                <w:bCs w:val="false"/>
                <w:color w:val="222222"/>
                <w:sz w:val="20"/>
                <w:szCs w:val="20"/>
              </w:rPr>
              <w:t xml:space="preserve">R$ 120.000</w:t>
            </w:r>
          </w:p>
        </w:tc>
        <w:tc>
          <w:tcPr>
            <w:tcBorders>
              <w:top w:val="single" w:color="CCCCCC" w:sz="1"/>
              <w:left w:val="single" w:color="CCCCCC" w:sz="1"/>
              <w:bottom w:val="single" w:color="CCCCCC" w:sz="1"/>
              <w:right w:val="single" w:color="CCCCCC" w:sz="1"/>
            </w:tcBorders>
            <w:shd w:fill="EAF1FB" w:val="clear"/>
            <w:tcMar>
              <w:top w:type="dxa" w:w="100"/>
              <w:left w:type="dxa" w:w="140"/>
              <w:bottom w:type="dxa" w:w="100"/>
              <w:right w:type="dxa" w:w="140"/>
            </w:tcMar>
          </w:tcPr>
          <w:p>
            <w:pPr>
              <w:jc w:val="center"/>
            </w:pPr>
            <w:r>
              <w:rPr>
                <w:rFonts w:ascii="Arial" w:cs="Arial" w:eastAsia="Arial" w:hAnsi="Arial"/>
                <w:b/>
                <w:bCs/>
                <w:color w:val="1A7A4A"/>
                <w:sz w:val="20"/>
                <w:szCs w:val="20"/>
              </w:rPr>
              <w:t xml:space="preserve">R$ 614.000</w:t>
            </w:r>
          </w:p>
        </w:tc>
      </w:tr>
    </w:tbl>
    <w:p>
      <w:pPr>
        <w:spacing w:before="160" w:after="160"/>
      </w:pPr>
      <w:r>
        <w:t xml:space="preserve"/>
      </w:r>
    </w:p>
    <w:p>
      <w:r>
        <w:br w:type="page"/>
      </w:r>
    </w:p>
    <w:p>
      <w:pPr>
        <w:shd w:fill="2B5EA7" w:val="clear"/>
        <w:spacing w:before="400" w:after="200"/>
      </w:pPr>
      <w:r>
        <w:rPr>
          <w:rFonts w:ascii="Arial" w:cs="Arial" w:eastAsia="Arial" w:hAnsi="Arial"/>
          <w:b/>
          <w:bCs/>
          <w:color w:val="FFFFFF"/>
          <w:sz w:val="26"/>
          <w:szCs w:val="26"/>
        </w:rPr>
        <w:t xml:space="preserve">  05. EXOESQUELETO TÉCNICO — ARQUITETURA DA PLATAFORMA  </w:t>
      </w:r>
    </w:p>
    <w:p>
      <w:pPr>
        <w:spacing w:before="80" w:after="80"/>
      </w:pPr>
      <w:r>
        <w:t xml:space="preserve"/>
      </w:r>
    </w:p>
    <w:p>
      <w:pPr>
        <w:spacing w:before="80" w:after="120"/>
      </w:pPr>
      <w:r>
        <w:rPr>
          <w:rFonts w:ascii="Arial" w:cs="Arial" w:eastAsia="Arial" w:hAnsi="Arial"/>
          <w:color w:val="222222"/>
          <w:sz w:val="22"/>
          <w:szCs w:val="22"/>
        </w:rPr>
        <w:t xml:space="preserve">A arquitetura foi desenhada inteiramente sobre infraestrutura cloud, sem servidor próprio, operando 24/7 com custo operacional mínimo. Todo o stack é open source ou com free tier generoso para o MVP.</w:t>
      </w:r>
    </w:p>
    <w:p>
      <w:pPr>
        <w:spacing w:before="80" w:after="80"/>
      </w:pPr>
      <w:r>
        <w:t xml:space="preserve"/>
      </w:r>
    </w:p>
    <w:p>
      <w:pPr>
        <w:pStyle w:val="Heading2"/>
        <w:spacing w:before="320" w:after="160"/>
      </w:pPr>
      <w:r>
        <w:rPr>
          <w:rFonts w:ascii="Arial" w:cs="Arial" w:eastAsia="Arial" w:hAnsi="Arial"/>
          <w:b/>
          <w:bCs/>
          <w:color w:val="2B5EA7"/>
          <w:sz w:val="28"/>
          <w:szCs w:val="28"/>
        </w:rPr>
        <w:t xml:space="preserve">Stack Tecnológico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3F6F" w:val="clear"/>
            <w:tcMar>
              <w:top w:type="dxa" w:w="100"/>
              <w:left w:type="dxa" w:w="160"/>
              <w:bottom w:type="dxa" w:w="100"/>
              <w:right w:type="dxa" w:w="160"/>
            </w:tcMar>
          </w:tcPr>
          <w:p>
            <w:r>
              <w:rPr>
                <w:rFonts w:ascii="Arial" w:cs="Arial" w:eastAsia="Arial" w:hAnsi="Arial"/>
                <w:b/>
                <w:bCs/>
                <w:color w:val="FFFFFF"/>
                <w:sz w:val="20"/>
                <w:szCs w:val="20"/>
              </w:rPr>
              <w:t xml:space="preserve">CAMADA</w:t>
            </w:r>
          </w:p>
        </w:tc>
        <w:tc>
          <w:tcPr>
            <w:tcW w:type="dxa" w:w="2800"/>
            <w:tcBorders>
              <w:top w:val="single" w:color="CCCCCC" w:sz="1"/>
              <w:left w:val="single" w:color="CCCCCC" w:sz="1"/>
              <w:bottom w:val="single" w:color="CCCCCC" w:sz="1"/>
              <w:right w:val="single" w:color="CCCCCC" w:sz="1"/>
            </w:tcBorders>
            <w:shd w:fill="1A3F6F" w:val="clear"/>
            <w:tcMar>
              <w:top w:type="dxa" w:w="100"/>
              <w:left w:type="dxa" w:w="160"/>
              <w:bottom w:type="dxa" w:w="100"/>
              <w:right w:type="dxa" w:w="160"/>
            </w:tcMar>
          </w:tcPr>
          <w:p>
            <w:r>
              <w:rPr>
                <w:rFonts w:ascii="Arial" w:cs="Arial" w:eastAsia="Arial" w:hAnsi="Arial"/>
                <w:b/>
                <w:bCs/>
                <w:color w:val="FFFFFF"/>
                <w:sz w:val="20"/>
                <w:szCs w:val="20"/>
              </w:rPr>
              <w:t xml:space="preserve">TECNOLOGIA</w:t>
            </w:r>
          </w:p>
        </w:tc>
        <w:tc>
          <w:tcPr>
            <w:tcW w:type="dxa" w:w="4560"/>
            <w:tcBorders>
              <w:top w:val="single" w:color="CCCCCC" w:sz="1"/>
              <w:left w:val="single" w:color="CCCCCC" w:sz="1"/>
              <w:bottom w:val="single" w:color="CCCCCC" w:sz="1"/>
              <w:right w:val="single" w:color="CCCCCC" w:sz="1"/>
            </w:tcBorders>
            <w:shd w:fill="1A3F6F" w:val="clear"/>
            <w:tcMar>
              <w:top w:type="dxa" w:w="100"/>
              <w:left w:type="dxa" w:w="160"/>
              <w:bottom w:type="dxa" w:w="100"/>
              <w:right w:type="dxa" w:w="160"/>
            </w:tcMar>
          </w:tcPr>
          <w:p>
            <w:r>
              <w:rPr>
                <w:rFonts w:ascii="Arial" w:cs="Arial" w:eastAsia="Arial" w:hAnsi="Arial"/>
                <w:b/>
                <w:bCs/>
                <w:color w:val="FFFFFF"/>
                <w:sz w:val="20"/>
                <w:szCs w:val="20"/>
              </w:rPr>
              <w:t xml:space="preserve">FUNÇÃO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React + Vercel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Dashboard, cards de oportunidade, área do assinante</w:t>
            </w:r>
          </w:p>
        </w:tc>
      </w:tr>
      <w:tr>
        <w:tc>
          <w:tcPr>
            <w:tcW w:type="dxa" w:w="20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20"/>
                <w:szCs w:val="20"/>
              </w:rPr>
              <w:t xml:space="preserve">Backend / API</w:t>
            </w:r>
          </w:p>
        </w:tc>
        <w:tc>
          <w:tcPr>
            <w:tcW w:type="dxa" w:w="28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20"/>
                <w:szCs w:val="20"/>
              </w:rPr>
              <w:t xml:space="preserve">Vercel API Routes</w:t>
            </w:r>
          </w:p>
        </w:tc>
        <w:tc>
          <w:tcPr>
            <w:tcW w:type="dxa" w:w="456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20"/>
                <w:szCs w:val="20"/>
              </w:rPr>
              <w:t xml:space="preserve">Motor de busca, scraping, scoring, alertas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Banco de dados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Supabase (PostgreSQL)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Oportunidades, fontes, usuários, histórico de preços</w:t>
            </w:r>
          </w:p>
        </w:tc>
      </w:tr>
      <w:tr>
        <w:tc>
          <w:tcPr>
            <w:tcW w:type="dxa" w:w="20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20"/>
                <w:szCs w:val="20"/>
              </w:rPr>
              <w:t xml:space="preserve">Storage de imagens</w:t>
            </w:r>
          </w:p>
        </w:tc>
        <w:tc>
          <w:tcPr>
            <w:tcW w:type="dxa" w:w="28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20"/>
                <w:szCs w:val="20"/>
              </w:rPr>
              <w:t xml:space="preserve">Supabase Storage</w:t>
            </w:r>
          </w:p>
        </w:tc>
        <w:tc>
          <w:tcPr>
            <w:tcW w:type="dxa" w:w="456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20"/>
                <w:szCs w:val="20"/>
              </w:rPr>
              <w:t xml:space="preserve">Fotos capturadas dos ativos encontrados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IA Analítica</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Claude API</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Score 0-100, análise de risco, estimativa FIPE/mercado</w:t>
            </w:r>
          </w:p>
        </w:tc>
      </w:tr>
      <w:tr>
        <w:tc>
          <w:tcPr>
            <w:tcW w:type="dxa" w:w="20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20"/>
                <w:szCs w:val="20"/>
              </w:rPr>
              <w:t xml:space="preserve">Automação</w:t>
            </w:r>
          </w:p>
        </w:tc>
        <w:tc>
          <w:tcPr>
            <w:tcW w:type="dxa" w:w="28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20"/>
                <w:szCs w:val="20"/>
              </w:rPr>
              <w:t xml:space="preserve">Vercel Cron Jobs</w:t>
            </w:r>
          </w:p>
        </w:tc>
        <w:tc>
          <w:tcPr>
            <w:tcW w:type="dxa" w:w="456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20"/>
                <w:szCs w:val="20"/>
              </w:rPr>
              <w:t xml:space="preserve">Varredura automática a cada 6 horas 24/7</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Precificação FIPE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API FIPE (gratuita)</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Valor de mercado para cálculo de margem</w:t>
            </w:r>
          </w:p>
        </w:tc>
      </w:tr>
      <w:tr>
        <w:tc>
          <w:tcPr>
            <w:tcW w:type="dxa" w:w="20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20"/>
                <w:szCs w:val="20"/>
              </w:rPr>
              <w:t xml:space="preserve">Alertas</w:t>
            </w:r>
          </w:p>
        </w:tc>
        <w:tc>
          <w:tcPr>
            <w:tcW w:type="dxa" w:w="28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20"/>
                <w:szCs w:val="20"/>
              </w:rPr>
              <w:t xml:space="preserve">WhatsApp via Twilio / Email</w:t>
            </w:r>
          </w:p>
        </w:tc>
        <w:tc>
          <w:tcPr>
            <w:tcW w:type="dxa" w:w="456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20"/>
                <w:szCs w:val="20"/>
              </w:rPr>
              <w:t xml:space="preserve">Notificação imediata para score &gt; 70</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Versionamento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GitHub</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CI/CD, deploy automático no Vercel</w:t>
            </w:r>
          </w:p>
        </w:tc>
      </w:tr>
    </w:tbl>
    <w:p>
      <w:pPr>
        <w:spacing w:before="160" w:after="160"/>
      </w:pPr>
      <w:r>
        <w:t xml:space="preserve"/>
      </w:r>
    </w:p>
    <w:p>
      <w:pPr>
        <w:pStyle w:val="Heading2"/>
        <w:spacing w:before="320" w:after="160"/>
      </w:pPr>
      <w:r>
        <w:rPr>
          <w:rFonts w:ascii="Arial" w:cs="Arial" w:eastAsia="Arial" w:hAnsi="Arial"/>
          <w:b/>
          <w:bCs/>
          <w:color w:val="2B5EA7"/>
          <w:sz w:val="28"/>
          <w:szCs w:val="28"/>
        </w:rPr>
        <w:t xml:space="preserve">Fluxo de dados — ciclo completo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c>
          <w:tcPr>
            <w:tcW w:type="dxa" w:w="480"/>
            <w:tcBorders>
              <w:top w:val="single" w:color="CCCCCC" w:sz="1"/>
              <w:left w:val="single" w:color="CCCCCC" w:sz="1"/>
              <w:bottom w:val="single" w:color="CCCCCC" w:sz="1"/>
              <w:right w:val="single" w:color="CCCCCC" w:sz="1"/>
            </w:tcBorders>
            <w:shd w:fill="1A3F6F" w:val="clear"/>
            <w:tcMar>
              <w:top w:type="dxa" w:w="100"/>
              <w:left w:type="dxa" w:w="160"/>
              <w:bottom w:type="dxa" w:w="100"/>
              <w:right w:type="dxa" w:w="160"/>
            </w:tcMar>
          </w:tcPr>
          <w:p>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1A3F6F" w:val="clear"/>
            <w:tcMar>
              <w:top w:type="dxa" w:w="100"/>
              <w:left w:type="dxa" w:w="160"/>
              <w:bottom w:type="dxa" w:w="100"/>
              <w:right w:type="dxa" w:w="160"/>
            </w:tcMar>
          </w:tcPr>
          <w:p>
            <w:r>
              <w:rPr>
                <w:rFonts w:ascii="Arial" w:cs="Arial" w:eastAsia="Arial" w:hAnsi="Arial"/>
                <w:b/>
                <w:bCs/>
                <w:color w:val="FFFFFF"/>
                <w:sz w:val="19"/>
                <w:szCs w:val="19"/>
              </w:rPr>
              <w:t xml:space="preserve">ETAPA</w:t>
            </w:r>
          </w:p>
        </w:tc>
        <w:tc>
          <w:tcPr>
            <w:tcW w:type="dxa" w:w="6480"/>
            <w:tcBorders>
              <w:top w:val="single" w:color="CCCCCC" w:sz="1"/>
              <w:left w:val="single" w:color="CCCCCC" w:sz="1"/>
              <w:bottom w:val="single" w:color="CCCCCC" w:sz="1"/>
              <w:right w:val="single" w:color="CCCCCC" w:sz="1"/>
            </w:tcBorders>
            <w:shd w:fill="1A3F6F" w:val="clear"/>
            <w:tcMar>
              <w:top w:type="dxa" w:w="100"/>
              <w:left w:type="dxa" w:w="160"/>
              <w:bottom w:type="dxa" w:w="100"/>
              <w:right w:type="dxa" w:w="160"/>
            </w:tcMar>
          </w:tcPr>
          <w:p>
            <w:r>
              <w:rPr>
                <w:rFonts w:ascii="Arial" w:cs="Arial" w:eastAsia="Arial" w:hAnsi="Arial"/>
                <w:b/>
                <w:bCs/>
                <w:color w:val="FFFFFF"/>
                <w:sz w:val="19"/>
                <w:szCs w:val="19"/>
              </w:rPr>
              <w:t xml:space="preserve">DETALHE TÉCNICO</w:t>
            </w:r>
          </w:p>
        </w:tc>
      </w:tr>
      <w:tr>
        <w:tc>
          <w:tcPr>
            <w:tcW w:type="dxa" w:w="480"/>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r>
              <w:rPr>
                <w:rFonts w:ascii="Arial" w:cs="Arial" w:eastAsia="Arial" w:hAnsi="Arial"/>
                <w:b w:val="false"/>
                <w:bCs w:val="false"/>
                <w:color w:val="FFFFFF"/>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222222"/>
                <w:sz w:val="19"/>
                <w:szCs w:val="19"/>
              </w:rPr>
              <w:t xml:space="preserve">Cron Job dispara</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Vercel Cron Job executa a cada 6 horas. Chama a API Route /api/scrape-run</w:t>
            </w:r>
          </w:p>
        </w:tc>
      </w:tr>
      <w:tr>
        <w:tc>
          <w:tcPr>
            <w:tcW w:type="dxa" w:w="480"/>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r>
              <w:rPr>
                <w:rFonts w:ascii="Arial" w:cs="Arial" w:eastAsia="Arial" w:hAnsi="Arial"/>
                <w:b w:val="false"/>
                <w:bCs w:val="false"/>
                <w:color w:val="FFFFFF"/>
                <w:sz w:val="19"/>
                <w:szCs w:val="19"/>
              </w:rPr>
              <w:t xml:space="preserve">2</w:t>
            </w:r>
          </w:p>
        </w:tc>
        <w:tc>
          <w:tcPr>
            <w:tcW w:type="dxa" w:w="24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bCs/>
                <w:color w:val="222222"/>
                <w:sz w:val="19"/>
                <w:szCs w:val="19"/>
              </w:rPr>
              <w:t xml:space="preserve">Fonte selection</w:t>
            </w:r>
          </w:p>
        </w:tc>
        <w:tc>
          <w:tcPr>
            <w:tcW w:type="dxa" w:w="648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19"/>
                <w:szCs w:val="19"/>
              </w:rPr>
              <w:t xml:space="preserve">API busca no Supabase tabela fontes_busca WHERE ativo = true. Retorna lista de URLs a varrer.</w:t>
            </w:r>
          </w:p>
        </w:tc>
      </w:tr>
      <w:tr>
        <w:tc>
          <w:tcPr>
            <w:tcW w:type="dxa" w:w="480"/>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r>
              <w:rPr>
                <w:rFonts w:ascii="Arial" w:cs="Arial" w:eastAsia="Arial" w:hAnsi="Arial"/>
                <w:b w:val="false"/>
                <w:bCs w:val="false"/>
                <w:color w:val="FFFFFF"/>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222222"/>
                <w:sz w:val="19"/>
                <w:szCs w:val="19"/>
              </w:rPr>
              <w:t xml:space="preserve">Scraping por vertical</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Para cada fonte: Playwright (headless) carrega a página, extrai título, preço, fotos, descrição, data de encerramento.</w:t>
            </w:r>
          </w:p>
        </w:tc>
      </w:tr>
      <w:tr>
        <w:tc>
          <w:tcPr>
            <w:tcW w:type="dxa" w:w="480"/>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r>
              <w:rPr>
                <w:rFonts w:ascii="Arial" w:cs="Arial" w:eastAsia="Arial" w:hAnsi="Arial"/>
                <w:b w:val="false"/>
                <w:bCs w:val="false"/>
                <w:color w:val="FFFFFF"/>
                <w:sz w:val="19"/>
                <w:szCs w:val="19"/>
              </w:rPr>
              <w:t xml:space="preserve">4</w:t>
            </w:r>
          </w:p>
        </w:tc>
        <w:tc>
          <w:tcPr>
            <w:tcW w:type="dxa" w:w="24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bCs/>
                <w:color w:val="222222"/>
                <w:sz w:val="19"/>
                <w:szCs w:val="19"/>
              </w:rPr>
              <w:t xml:space="preserve">Deduplicação</w:t>
            </w:r>
          </w:p>
        </w:tc>
        <w:tc>
          <w:tcPr>
            <w:tcW w:type="dxa" w:w="648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Compara hash do item com registros existentes no Supabase. Itens já conhecidos são atualizados (lance), novos são inseridos.</w:t>
            </w:r>
          </w:p>
        </w:tc>
      </w:tr>
      <w:tr>
        <w:tc>
          <w:tcPr>
            <w:tcW w:type="dxa" w:w="480"/>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r>
              <w:rPr>
                <w:rFonts w:ascii="Arial" w:cs="Arial" w:eastAsia="Arial" w:hAnsi="Arial"/>
                <w:b w:val="false"/>
                <w:bCs w:val="false"/>
                <w:color w:val="FFFFFF"/>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222222"/>
                <w:sz w:val="19"/>
                <w:szCs w:val="19"/>
              </w:rPr>
              <w:t xml:space="preserve">Enriquecimento FIPE</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Para carros: chama fipeapi.com.br com marca/modelo/ano. Retorna valor de mercado atual.</w:t>
            </w:r>
          </w:p>
        </w:tc>
      </w:tr>
      <w:tr>
        <w:tc>
          <w:tcPr>
            <w:tcW w:type="dxa" w:w="480"/>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r>
              <w:rPr>
                <w:rFonts w:ascii="Arial" w:cs="Arial" w:eastAsia="Arial" w:hAnsi="Arial"/>
                <w:b w:val="false"/>
                <w:bCs w:val="false"/>
                <w:color w:val="FFFFFF"/>
                <w:sz w:val="19"/>
                <w:szCs w:val="19"/>
              </w:rPr>
              <w:t xml:space="preserve">6</w:t>
            </w:r>
          </w:p>
        </w:tc>
        <w:tc>
          <w:tcPr>
            <w:tcW w:type="dxa" w:w="24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bCs/>
                <w:color w:val="222222"/>
                <w:sz w:val="19"/>
                <w:szCs w:val="19"/>
              </w:rPr>
              <w:t xml:space="preserve">Análise IA (Claude API)</w:t>
            </w:r>
          </w:p>
        </w:tc>
        <w:tc>
          <w:tcPr>
            <w:tcW w:type="dxa" w:w="648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Prompt estruturado envia dados do ativo. Claude retorna: score 0-100, lucro_estimado, lucro_conservador, riscos[], justificativa.</w:t>
            </w:r>
          </w:p>
        </w:tc>
      </w:tr>
      <w:tr>
        <w:tc>
          <w:tcPr>
            <w:tcW w:type="dxa" w:w="480"/>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r>
              <w:rPr>
                <w:rFonts w:ascii="Arial" w:cs="Arial" w:eastAsia="Arial" w:hAnsi="Arial"/>
                <w:b w:val="false"/>
                <w:bCs w:val="false"/>
                <w:color w:val="FFFFFF"/>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222222"/>
                <w:sz w:val="19"/>
                <w:szCs w:val="19"/>
              </w:rPr>
              <w:t xml:space="preserve">Cálculo de custos</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Motor interno aplica tabela de custos por categoria (DETRAN, cartório, revisão, logística) sobre o preço do leilão.</w:t>
            </w:r>
          </w:p>
        </w:tc>
      </w:tr>
      <w:tr>
        <w:tc>
          <w:tcPr>
            <w:tcW w:type="dxa" w:w="480"/>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r>
              <w:rPr>
                <w:rFonts w:ascii="Arial" w:cs="Arial" w:eastAsia="Arial" w:hAnsi="Arial"/>
                <w:b w:val="false"/>
                <w:bCs w:val="false"/>
                <w:color w:val="FFFFFF"/>
                <w:sz w:val="19"/>
                <w:szCs w:val="19"/>
              </w:rPr>
              <w:t xml:space="preserve">8</w:t>
            </w:r>
          </w:p>
        </w:tc>
        <w:tc>
          <w:tcPr>
            <w:tcW w:type="dxa" w:w="24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bCs/>
                <w:color w:val="222222"/>
                <w:sz w:val="19"/>
                <w:szCs w:val="19"/>
              </w:rPr>
              <w:t xml:space="preserve">Score threshold</w:t>
            </w:r>
          </w:p>
        </w:tc>
        <w:tc>
          <w:tcPr>
            <w:tcW w:type="dxa" w:w="648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 score &gt;= 70 AND usuario tem alertas ativos para aquela categoria, dispara notificação.</w:t>
            </w:r>
          </w:p>
        </w:tc>
      </w:tr>
      <w:tr>
        <w:tc>
          <w:tcPr>
            <w:tcW w:type="dxa" w:w="480"/>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r>
              <w:rPr>
                <w:rFonts w:ascii="Arial" w:cs="Arial" w:eastAsia="Arial" w:hAnsi="Arial"/>
                <w:b w:val="false"/>
                <w:bCs w:val="false"/>
                <w:color w:val="FFFFFF"/>
                <w:sz w:val="19"/>
                <w:szCs w:val="19"/>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222222"/>
                <w:sz w:val="19"/>
                <w:szCs w:val="19"/>
              </w:rPr>
              <w:t xml:space="preserve">Dashboard atualiza</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Frontend React (Next.js no Vercel) consome API REST do Supabase em tempo real. Cards renderizados com dados frescos.</w:t>
            </w:r>
          </w:p>
        </w:tc>
      </w:tr>
      <w:tr>
        <w:tc>
          <w:tcPr>
            <w:tcW w:type="dxa" w:w="480"/>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r>
              <w:rPr>
                <w:rFonts w:ascii="Arial" w:cs="Arial" w:eastAsia="Arial" w:hAnsi="Arial"/>
                <w:b w:val="false"/>
                <w:bCs w:val="false"/>
                <w:color w:val="FFFFFF"/>
                <w:sz w:val="19"/>
                <w:szCs w:val="19"/>
              </w:rPr>
              <w:t xml:space="preserve">10</w:t>
            </w:r>
          </w:p>
        </w:tc>
        <w:tc>
          <w:tcPr>
            <w:tcW w:type="dxa" w:w="24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bCs/>
                <w:color w:val="222222"/>
                <w:sz w:val="19"/>
                <w:szCs w:val="19"/>
              </w:rPr>
              <w:t xml:space="preserve">Log e auditoria</w:t>
            </w:r>
          </w:p>
        </w:tc>
        <w:tc>
          <w:tcPr>
            <w:tcW w:type="dxa" w:w="648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Cada ciclo de scraping é registrado na tabela log_varreduras com métricas de sucesso, falhas e timing.</w:t>
            </w:r>
          </w:p>
        </w:tc>
      </w:tr>
    </w:tbl>
    <w:p>
      <w:pPr>
        <w:spacing w:before="160" w:after="160"/>
      </w:pPr>
      <w:r>
        <w:t xml:space="preserve"/>
      </w:r>
    </w:p>
    <w:p>
      <w:pPr>
        <w:pStyle w:val="Heading2"/>
        <w:spacing w:before="320" w:after="160"/>
      </w:pPr>
      <w:r>
        <w:rPr>
          <w:rFonts w:ascii="Arial" w:cs="Arial" w:eastAsia="Arial" w:hAnsi="Arial"/>
          <w:b/>
          <w:bCs/>
          <w:color w:val="2B5EA7"/>
          <w:sz w:val="28"/>
          <w:szCs w:val="28"/>
        </w:rPr>
        <w:t xml:space="preserve">Schema principal do Supabase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r>
              <w:rPr>
                <w:rFonts w:ascii="Arial" w:cs="Arial" w:eastAsia="Arial" w:hAnsi="Arial"/>
                <w:b/>
                <w:bCs/>
                <w:color w:val="FFFFFF"/>
                <w:sz w:val="20"/>
                <w:szCs w:val="20"/>
              </w:rPr>
              <w:t xml:space="preserve">TABELA</w:t>
            </w:r>
          </w:p>
        </w:tc>
        <w:tc>
          <w:tcPr>
            <w:tcW w:type="dxa" w:w="7160"/>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r>
              <w:rPr>
                <w:rFonts w:ascii="Arial" w:cs="Arial" w:eastAsia="Arial" w:hAnsi="Arial"/>
                <w:b/>
                <w:bCs/>
                <w:color w:val="FFFFFF"/>
                <w:sz w:val="20"/>
                <w:szCs w:val="20"/>
              </w:rPr>
              <w:t xml:space="preserve">CAMPOS PRINCIPAIS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3F6F"/>
                <w:sz w:val="19"/>
                <w:szCs w:val="19"/>
              </w:rPr>
              <w:t xml:space="preserve">fontes_busca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19"/>
                <w:szCs w:val="19"/>
              </w:rPr>
              <w:t xml:space="preserve">id, nome, url, categoria, ativo, ultima_varredura, sucesso_rate, requer_login</w:t>
            </w:r>
          </w:p>
        </w:tc>
      </w:tr>
      <w:tr>
        <w:tc>
          <w:tcPr>
            <w:tcW w:type="dxa" w:w="22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bCs/>
                <w:color w:val="1A3F6F"/>
                <w:sz w:val="19"/>
                <w:szCs w:val="19"/>
              </w:rPr>
              <w:t xml:space="preserve">oportunidades</w:t>
            </w:r>
          </w:p>
        </w:tc>
        <w:tc>
          <w:tcPr>
            <w:tcW w:type="dxa" w:w="716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333333"/>
                <w:sz w:val="19"/>
                <w:szCs w:val="19"/>
              </w:rPr>
              <w:t xml:space="preserve">id, fonte_id, titulo, preco_lance, preco_fipe, custo_total, venda_estimada, lucro_potencial, roi_percent, score_ia, riscos, justificativa, fotos_urls, url_original, expira_em, criado_em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3F6F"/>
                <w:sz w:val="19"/>
                <w:szCs w:val="19"/>
              </w:rPr>
              <w:t xml:space="preserve">usuarios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19"/>
                <w:szCs w:val="19"/>
              </w:rPr>
              <w:t xml:space="preserve">id, email, plano, verticais_ativas, score_minimo_alerta, canal_alerta, whatsapp, ativo_ate</w:t>
            </w:r>
          </w:p>
        </w:tc>
      </w:tr>
      <w:tr>
        <w:tc>
          <w:tcPr>
            <w:tcW w:type="dxa" w:w="22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bCs/>
                <w:color w:val="1A3F6F"/>
                <w:sz w:val="19"/>
                <w:szCs w:val="19"/>
              </w:rPr>
              <w:t xml:space="preserve">alertas_enviados</w:t>
            </w:r>
          </w:p>
        </w:tc>
        <w:tc>
          <w:tcPr>
            <w:tcW w:type="dxa" w:w="716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333333"/>
                <w:sz w:val="19"/>
                <w:szCs w:val="19"/>
              </w:rPr>
              <w:t xml:space="preserve">id, usuario_id, oportunidade_id, canal, enviado_em, status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3F6F"/>
                <w:sz w:val="19"/>
                <w:szCs w:val="19"/>
              </w:rPr>
              <w:t xml:space="preserve">historico_precos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19"/>
                <w:szCs w:val="19"/>
              </w:rPr>
              <w:t xml:space="preserve">id, modelo_chave, preco_registrado, fonte, data_registro</w:t>
            </w:r>
          </w:p>
        </w:tc>
      </w:tr>
      <w:tr>
        <w:tc>
          <w:tcPr>
            <w:tcW w:type="dxa" w:w="22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bCs/>
                <w:color w:val="1A3F6F"/>
                <w:sz w:val="19"/>
                <w:szCs w:val="19"/>
              </w:rPr>
              <w:t xml:space="preserve">log_varreduras</w:t>
            </w:r>
          </w:p>
        </w:tc>
        <w:tc>
          <w:tcPr>
            <w:tcW w:type="dxa" w:w="716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333333"/>
                <w:sz w:val="19"/>
                <w:szCs w:val="19"/>
              </w:rPr>
              <w:t xml:space="preserve">id, fonte_id, iniciado_em, finalizado_em, itens_encontrados, itens_novos, erros</w:t>
            </w:r>
          </w:p>
        </w:tc>
      </w:tr>
    </w:tbl>
    <w:p>
      <w:pPr>
        <w:spacing w:before="160" w:after="160"/>
      </w:pPr>
      <w:r>
        <w:t xml:space="preserve"/>
      </w:r>
    </w:p>
    <w:p>
      <w:r>
        <w:br w:type="page"/>
      </w:r>
    </w:p>
    <w:p>
      <w:pPr>
        <w:shd w:fill="2B5EA7" w:val="clear"/>
        <w:spacing w:before="400" w:after="200"/>
      </w:pPr>
      <w:r>
        <w:rPr>
          <w:rFonts w:ascii="Arial" w:cs="Arial" w:eastAsia="Arial" w:hAnsi="Arial"/>
          <w:b/>
          <w:bCs/>
          <w:color w:val="FFFFFF"/>
          <w:sz w:val="26"/>
          <w:szCs w:val="26"/>
        </w:rPr>
        <w:t xml:space="preserve">  06. FONTES DE DADOS — SITES MAPEADOS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1880"/>
        <w:gridCol w:w="2000"/>
      </w:tblGrid>
      <w:tr>
        <w:tc>
          <w:tcPr>
            <w:tcBorders>
              <w:top w:val="single" w:color="CCCCCC" w:sz="1"/>
              <w:left w:val="single" w:color="CCCCCC" w:sz="1"/>
              <w:bottom w:val="single" w:color="CCCCCC" w:sz="1"/>
              <w:right w:val="single" w:color="CCCCCC" w:sz="1"/>
            </w:tcBorders>
            <w:shd w:fill="1A3F6F" w:val="clear"/>
            <w:tcMar>
              <w:top w:type="dxa" w:w="100"/>
              <w:left w:type="dxa" w:w="160"/>
              <w:bottom w:type="dxa" w:w="100"/>
              <w:right w:type="dxa" w:w="160"/>
            </w:tcMar>
          </w:tcPr>
          <w:p>
            <w:r>
              <w:rPr>
                <w:rFonts w:ascii="Arial" w:cs="Arial" w:eastAsia="Arial" w:hAnsi="Arial"/>
                <w:b/>
                <w:bCs/>
                <w:color w:val="FFFFFF"/>
                <w:sz w:val="19"/>
                <w:szCs w:val="19"/>
              </w:rPr>
              <w:t xml:space="preserve">CATEGORIA</w:t>
            </w:r>
          </w:p>
        </w:tc>
        <w:tc>
          <w:tcPr>
            <w:tcBorders>
              <w:top w:val="single" w:color="CCCCCC" w:sz="1"/>
              <w:left w:val="single" w:color="CCCCCC" w:sz="1"/>
              <w:bottom w:val="single" w:color="CCCCCC" w:sz="1"/>
              <w:right w:val="single" w:color="CCCCCC" w:sz="1"/>
            </w:tcBorders>
            <w:shd w:fill="1A3F6F" w:val="clear"/>
            <w:tcMar>
              <w:top w:type="dxa" w:w="100"/>
              <w:left w:type="dxa" w:w="160"/>
              <w:bottom w:type="dxa" w:w="100"/>
              <w:right w:type="dxa" w:w="160"/>
            </w:tcMar>
          </w:tcPr>
          <w:p>
            <w:r>
              <w:rPr>
                <w:rFonts w:ascii="Arial" w:cs="Arial" w:eastAsia="Arial" w:hAnsi="Arial"/>
                <w:b/>
                <w:bCs/>
                <w:color w:val="FFFFFF"/>
                <w:sz w:val="19"/>
                <w:szCs w:val="19"/>
              </w:rPr>
              <w:t xml:space="preserve">SITES PRIORITÁRIOS</w:t>
            </w:r>
          </w:p>
        </w:tc>
        <w:tc>
          <w:tcPr>
            <w:tcBorders>
              <w:top w:val="single" w:color="CCCCCC" w:sz="1"/>
              <w:left w:val="single" w:color="CCCCCC" w:sz="1"/>
              <w:bottom w:val="single" w:color="CCCCCC" w:sz="1"/>
              <w:right w:val="single" w:color="CCCCCC" w:sz="1"/>
            </w:tcBorders>
            <w:shd w:fill="1A3F6F" w:val="clear"/>
            <w:tcMar>
              <w:top w:type="dxa" w:w="100"/>
              <w:left w:type="dxa" w:w="160"/>
              <w:bottom w:type="dxa" w:w="100"/>
              <w:right w:type="dxa" w:w="160"/>
            </w:tcMar>
          </w:tcPr>
          <w:p>
            <w:r>
              <w:rPr>
                <w:rFonts w:ascii="Arial" w:cs="Arial" w:eastAsia="Arial" w:hAnsi="Arial"/>
                <w:b/>
                <w:bCs/>
                <w:color w:val="FFFFFF"/>
                <w:sz w:val="19"/>
                <w:szCs w:val="19"/>
              </w:rPr>
              <w:t xml:space="preserve">DIFICULDADE</w:t>
            </w:r>
          </w:p>
        </w:tc>
        <w:tc>
          <w:tcPr>
            <w:tcBorders>
              <w:top w:val="single" w:color="CCCCCC" w:sz="1"/>
              <w:left w:val="single" w:color="CCCCCC" w:sz="1"/>
              <w:bottom w:val="single" w:color="CCCCCC" w:sz="1"/>
              <w:right w:val="single" w:color="CCCCCC" w:sz="1"/>
            </w:tcBorders>
            <w:shd w:fill="1A3F6F" w:val="clear"/>
            <w:tcMar>
              <w:top w:type="dxa" w:w="100"/>
              <w:left w:type="dxa" w:w="160"/>
              <w:bottom w:type="dxa" w:w="100"/>
              <w:right w:type="dxa" w:w="160"/>
            </w:tcMar>
          </w:tcPr>
          <w:p>
            <w:r>
              <w:rPr>
                <w:rFonts w:ascii="Arial" w:cs="Arial" w:eastAsia="Arial" w:hAnsi="Arial"/>
                <w:b/>
                <w:bCs/>
                <w:color w:val="FFFFFF"/>
                <w:sz w:val="19"/>
                <w:szCs w:val="19"/>
              </w:rPr>
              <w:t xml:space="preserve">PRIORIDADE</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Carros — Marketplaces</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olx.com.br, mercadolivre.com.br, icarros.com.br, webmotors.com.br</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Baixa</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MVP — FASE 1</w:t>
            </w:r>
          </w:p>
        </w:tc>
      </w:tr>
      <w:tr>
        <w:tc>
          <w:tcPr>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Carros — Leilões</w:t>
            </w:r>
          </w:p>
        </w:tc>
        <w:tc>
          <w:tcPr>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19"/>
                <w:szCs w:val="19"/>
              </w:rPr>
              <w:t xml:space="preserve">leilomaster.com.br, lance-livre.com.br, hastaglobal.com.br</w:t>
            </w:r>
          </w:p>
        </w:tc>
        <w:tc>
          <w:tcPr>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19"/>
                <w:szCs w:val="19"/>
              </w:rPr>
              <w:t xml:space="preserve">Média</w:t>
            </w:r>
          </w:p>
        </w:tc>
        <w:tc>
          <w:tcPr>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19"/>
                <w:szCs w:val="19"/>
              </w:rPr>
              <w:t xml:space="preserve">MVP — FASE 1</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Imóveis — Bancos</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leiloes.caixa.gov.br, bb.com.br/leiloes, itau.com.br/leiloes, bradesco.com.br</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Média-Alta</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FASE 2</w:t>
            </w:r>
          </w:p>
        </w:tc>
      </w:tr>
      <w:tr>
        <w:tc>
          <w:tcPr>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19"/>
                <w:szCs w:val="19"/>
              </w:rPr>
              <w:t xml:space="preserve">Imóveis — Judicial</w:t>
            </w:r>
          </w:p>
        </w:tc>
        <w:tc>
          <w:tcPr>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19"/>
                <w:szCs w:val="19"/>
              </w:rPr>
              <w:t xml:space="preserve">e-leiloes.com.br, leiloesjudiciais.com.br, pje.tjto.jus.br</w:t>
            </w:r>
          </w:p>
        </w:tc>
        <w:tc>
          <w:tcPr>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Alta</w:t>
            </w:r>
          </w:p>
        </w:tc>
        <w:tc>
          <w:tcPr>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19"/>
                <w:szCs w:val="19"/>
              </w:rPr>
              <w:t xml:space="preserve">FASE 2</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Fazendas e Terras</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rurax.com.br, fazendas.com, terra.do, imo.com.br/rural</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Baixa</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FASE 2</w:t>
            </w:r>
          </w:p>
        </w:tc>
      </w:tr>
      <w:tr>
        <w:tc>
          <w:tcPr>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19"/>
                <w:szCs w:val="19"/>
              </w:rPr>
              <w:t xml:space="preserve">Maquinário Agrícola</w:t>
            </w:r>
          </w:p>
        </w:tc>
        <w:tc>
          <w:tcPr>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19"/>
                <w:szCs w:val="19"/>
              </w:rPr>
              <w:t xml:space="preserve">leilomaster.com.br, tractorbid.com.br, agroleiloes.com.br</w:t>
            </w:r>
          </w:p>
        </w:tc>
        <w:tc>
          <w:tcPr>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19"/>
                <w:szCs w:val="19"/>
              </w:rPr>
              <w:t xml:space="preserve">Média</w:t>
            </w:r>
          </w:p>
        </w:tc>
        <w:tc>
          <w:tcPr>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19"/>
                <w:szCs w:val="19"/>
              </w:rPr>
              <w:t xml:space="preserve">FASE 3</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Barcos</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lanchonet.com.br, boatsales.com.br, submarino.com.br/barcos</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Baixa</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FASE 3</w:t>
            </w:r>
          </w:p>
        </w:tc>
      </w:tr>
    </w:tbl>
    <w:p>
      <w:pPr>
        <w:spacing w:before="160" w:after="160"/>
      </w:pPr>
      <w:r>
        <w:t xml:space="preserve"/>
      </w:r>
    </w:p>
    <w:p>
      <w:r>
        <w:br w:type="page"/>
      </w:r>
    </w:p>
    <w:p>
      <w:pPr>
        <w:shd w:fill="2B5EA7" w:val="clear"/>
        <w:spacing w:before="400" w:after="200"/>
      </w:pPr>
      <w:r>
        <w:rPr>
          <w:rFonts w:ascii="Arial" w:cs="Arial" w:eastAsia="Arial" w:hAnsi="Arial"/>
          <w:b/>
          <w:bCs/>
          <w:color w:val="FFFFFF"/>
          <w:sz w:val="26"/>
          <w:szCs w:val="26"/>
        </w:rPr>
        <w:t xml:space="preserve">  07. ROADMAP DE DESENVOLVIMENTO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4760"/>
      </w:tblGrid>
      <w:tr>
        <w:tc>
          <w:tcPr>
            <w:tcW w:type="dxa" w:w="1400"/>
            <w:tcBorders>
              <w:top w:val="single" w:color="CCCCCC" w:sz="1"/>
              <w:left w:val="single" w:color="CCCCCC" w:sz="1"/>
              <w:bottom w:val="single" w:color="CCCCCC" w:sz="1"/>
              <w:right w:val="single" w:color="CCCCCC" w:sz="1"/>
            </w:tcBorders>
            <w:shd w:fill="1A3F6F" w:val="clear"/>
            <w:tcMar>
              <w:top w:type="dxa" w:w="100"/>
              <w:left w:type="dxa" w:w="160"/>
              <w:bottom w:type="dxa" w:w="100"/>
              <w:right w:type="dxa" w:w="160"/>
            </w:tcMar>
          </w:tcPr>
          <w:p>
            <w:r>
              <w:rPr>
                <w:rFonts w:ascii="Arial" w:cs="Arial" w:eastAsia="Arial" w:hAnsi="Arial"/>
                <w:b/>
                <w:bCs/>
                <w:color w:val="FFFFFF"/>
                <w:sz w:val="20"/>
                <w:szCs w:val="20"/>
              </w:rPr>
              <w:t xml:space="preserve">FASE</w:t>
            </w:r>
          </w:p>
        </w:tc>
        <w:tc>
          <w:tcPr>
            <w:tcW w:type="dxa" w:w="1800"/>
            <w:tcBorders>
              <w:top w:val="single" w:color="CCCCCC" w:sz="1"/>
              <w:left w:val="single" w:color="CCCCCC" w:sz="1"/>
              <w:bottom w:val="single" w:color="CCCCCC" w:sz="1"/>
              <w:right w:val="single" w:color="CCCCCC" w:sz="1"/>
            </w:tcBorders>
            <w:shd w:fill="1A3F6F" w:val="clear"/>
            <w:tcMar>
              <w:top w:type="dxa" w:w="100"/>
              <w:left w:type="dxa" w:w="160"/>
              <w:bottom w:type="dxa" w:w="100"/>
              <w:right w:type="dxa" w:w="160"/>
            </w:tcMar>
          </w:tcPr>
          <w:p>
            <w:r>
              <w:rPr>
                <w:rFonts w:ascii="Arial" w:cs="Arial" w:eastAsia="Arial" w:hAnsi="Arial"/>
                <w:b/>
                <w:bCs/>
                <w:color w:val="FFFFFF"/>
                <w:sz w:val="20"/>
                <w:szCs w:val="20"/>
              </w:rPr>
              <w:t xml:space="preserve">FOCO</w:t>
            </w:r>
          </w:p>
        </w:tc>
        <w:tc>
          <w:tcPr>
            <w:tcW w:type="dxa" w:w="1400"/>
            <w:tcBorders>
              <w:top w:val="single" w:color="CCCCCC" w:sz="1"/>
              <w:left w:val="single" w:color="CCCCCC" w:sz="1"/>
              <w:bottom w:val="single" w:color="CCCCCC" w:sz="1"/>
              <w:right w:val="single" w:color="CCCCCC" w:sz="1"/>
            </w:tcBorders>
            <w:shd w:fill="1A3F6F" w:val="clear"/>
            <w:tcMar>
              <w:top w:type="dxa" w:w="100"/>
              <w:left w:type="dxa" w:w="160"/>
              <w:bottom w:type="dxa" w:w="100"/>
              <w:right w:type="dxa" w:w="160"/>
            </w:tcMar>
          </w:tcPr>
          <w:p>
            <w:r>
              <w:rPr>
                <w:rFonts w:ascii="Arial" w:cs="Arial" w:eastAsia="Arial" w:hAnsi="Arial"/>
                <w:b/>
                <w:bCs/>
                <w:color w:val="FFFFFF"/>
                <w:sz w:val="20"/>
                <w:szCs w:val="20"/>
              </w:rPr>
              <w:t xml:space="preserve">PRAZO</w:t>
            </w:r>
          </w:p>
        </w:tc>
        <w:tc>
          <w:tcPr>
            <w:tcW w:type="dxa" w:w="4760"/>
            <w:tcBorders>
              <w:top w:val="single" w:color="CCCCCC" w:sz="1"/>
              <w:left w:val="single" w:color="CCCCCC" w:sz="1"/>
              <w:bottom w:val="single" w:color="CCCCCC" w:sz="1"/>
              <w:right w:val="single" w:color="CCCCCC" w:sz="1"/>
            </w:tcBorders>
            <w:shd w:fill="1A3F6F" w:val="clear"/>
            <w:tcMar>
              <w:top w:type="dxa" w:w="100"/>
              <w:left w:type="dxa" w:w="160"/>
              <w:bottom w:type="dxa" w:w="100"/>
              <w:right w:type="dxa" w:w="160"/>
            </w:tcMar>
          </w:tcPr>
          <w:p>
            <w:r>
              <w:rPr>
                <w:rFonts w:ascii="Arial" w:cs="Arial" w:eastAsia="Arial" w:hAnsi="Arial"/>
                <w:b/>
                <w:bCs/>
                <w:color w:val="FFFFFF"/>
                <w:sz w:val="20"/>
                <w:szCs w:val="20"/>
              </w:rPr>
              <w:t xml:space="preserve">ENTREGAS PRINCIPAIS</w:t>
            </w:r>
          </w:p>
        </w:tc>
      </w:tr>
      <w:tr>
        <w:tc>
          <w:tcPr>
            <w:tcW w:type="dxa" w:w="140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FASE 1</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color w:val="1A3F6F"/>
                <w:sz w:val="20"/>
                <w:szCs w:val="20"/>
              </w:rPr>
              <w:t xml:space="preserve">MVP — Carros</w:t>
            </w:r>
          </w:p>
        </w:tc>
        <w:tc>
          <w:tcPr>
            <w:tcW w:type="dxa" w:w="14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pPr>
              <w:jc w:val="center"/>
            </w:pPr>
            <w:r>
              <w:rPr>
                <w:rFonts w:ascii="Arial" w:cs="Arial" w:eastAsia="Arial" w:hAnsi="Arial"/>
                <w:color w:val="666666"/>
                <w:sz w:val="20"/>
                <w:szCs w:val="20"/>
              </w:rPr>
              <w:t xml:space="preserve">Mês 1-2</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19"/>
                <w:szCs w:val="19"/>
              </w:rPr>
              <w:t xml:space="preserve">Scraper OLX + ML + iCarros. Score IA. Dashboard React. Supabase schema. Deploy Vercel. Primeiros 50 usuários.</w:t>
            </w:r>
          </w:p>
        </w:tc>
      </w:tr>
      <w:tr>
        <w:tc>
          <w:tcPr>
            <w:tcW w:type="dxa" w:w="1400"/>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FASE 2</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color w:val="1A3F6F"/>
                <w:sz w:val="20"/>
                <w:szCs w:val="20"/>
              </w:rPr>
              <w:t xml:space="preserve">Imóveis + Fazendas</w:t>
            </w:r>
          </w:p>
        </w:tc>
        <w:tc>
          <w:tcPr>
            <w:tcW w:type="dxa" w:w="14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pPr>
              <w:jc w:val="center"/>
            </w:pPr>
            <w:r>
              <w:rPr>
                <w:rFonts w:ascii="Arial" w:cs="Arial" w:eastAsia="Arial" w:hAnsi="Arial"/>
                <w:color w:val="666666"/>
                <w:sz w:val="20"/>
                <w:szCs w:val="20"/>
              </w:rPr>
              <w:t xml:space="preserve">Mês 3-6</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19"/>
                <w:szCs w:val="19"/>
              </w:rPr>
              <w:t xml:space="preserve">Integração leilões bancários (CEF, BB, Itaú). Scraper Tribunais TJ. Vertical fazendas e terras. Assinatura paga ativa.</w:t>
            </w:r>
          </w:p>
        </w:tc>
      </w:tr>
      <w:tr>
        <w:tc>
          <w:tcPr>
            <w:tcW w:type="dxa" w:w="1400"/>
            <w:tcBorders>
              <w:top w:val="single" w:color="CCCCCC" w:sz="1"/>
              <w:left w:val="single" w:color="CCCCCC" w:sz="1"/>
              <w:bottom w:val="single" w:color="CCCCCC" w:sz="1"/>
              <w:right w:val="single" w:color="CCCCCC" w:sz="1"/>
            </w:tcBorders>
            <w:shd w:fill="1A3F6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FASE 3</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color w:val="1A3F6F"/>
                <w:sz w:val="20"/>
                <w:szCs w:val="20"/>
              </w:rPr>
              <w:t xml:space="preserve">Plataforma Multi-vertical</w:t>
            </w:r>
          </w:p>
        </w:tc>
        <w:tc>
          <w:tcPr>
            <w:tcW w:type="dxa" w:w="14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pPr>
              <w:jc w:val="center"/>
            </w:pPr>
            <w:r>
              <w:rPr>
                <w:rFonts w:ascii="Arial" w:cs="Arial" w:eastAsia="Arial" w:hAnsi="Arial"/>
                <w:color w:val="666666"/>
                <w:sz w:val="20"/>
                <w:szCs w:val="20"/>
              </w:rPr>
              <w:t xml:space="preserve">Mês 6-12</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19"/>
                <w:szCs w:val="19"/>
              </w:rPr>
              <w:t xml:space="preserve">Barcos, maquinário agrícola. API para corretores. Relatórios de inteligência de mercado. White label.</w:t>
            </w:r>
          </w:p>
        </w:tc>
      </w:tr>
      <w:tr>
        <w:tc>
          <w:tcPr>
            <w:tcW w:type="dxa" w:w="1400"/>
            <w:tcBorders>
              <w:top w:val="single" w:color="CCCCCC" w:sz="1"/>
              <w:left w:val="single" w:color="CCCCCC" w:sz="1"/>
              <w:bottom w:val="single" w:color="CCCCCC" w:sz="1"/>
              <w:right w:val="single" w:color="CCCCCC" w:sz="1"/>
            </w:tcBorders>
            <w:shd w:fill="F4A02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FASE 4</w:t>
            </w:r>
          </w:p>
        </w:tc>
        <w:tc>
          <w:tcPr>
            <w:tcW w:type="dxa" w:w="1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color w:val="1A3F6F"/>
                <w:sz w:val="20"/>
                <w:szCs w:val="20"/>
              </w:rPr>
              <w:t xml:space="preserve">Ecossistema</w:t>
            </w:r>
          </w:p>
        </w:tc>
        <w:tc>
          <w:tcPr>
            <w:tcW w:type="dxa" w:w="1400"/>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pPr>
              <w:jc w:val="center"/>
            </w:pPr>
            <w:r>
              <w:rPr>
                <w:rFonts w:ascii="Arial" w:cs="Arial" w:eastAsia="Arial" w:hAnsi="Arial"/>
                <w:color w:val="666666"/>
                <w:sz w:val="20"/>
                <w:szCs w:val="20"/>
              </w:rPr>
              <w:t xml:space="preserve">Ano 2+</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3333"/>
                <w:sz w:val="19"/>
                <w:szCs w:val="19"/>
              </w:rPr>
              <w:t xml:space="preserve">Marketplace de oportunidades. Fundo de co-investimento. Expansão Latam. Licenciamento internacional.</w:t>
            </w:r>
          </w:p>
        </w:tc>
      </w:tr>
    </w:tbl>
    <w:p>
      <w:pPr>
        <w:spacing w:before="160" w:after="160"/>
      </w:pPr>
      <w:r>
        <w:t xml:space="preserve"/>
      </w:r>
    </w:p>
    <w:p>
      <w:pPr>
        <w:pStyle w:val="Heading2"/>
        <w:spacing w:before="320" w:after="160"/>
      </w:pPr>
      <w:r>
        <w:rPr>
          <w:rFonts w:ascii="Arial" w:cs="Arial" w:eastAsia="Arial" w:hAnsi="Arial"/>
          <w:b/>
          <w:bCs/>
          <w:color w:val="2B5EA7"/>
          <w:sz w:val="28"/>
          <w:szCs w:val="28"/>
        </w:rPr>
        <w:t xml:space="preserve">Próximos passos imediatos — Semanas 1 e 2</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val="false"/>
                <w:bCs w:val="false"/>
                <w:color w:val="222222"/>
                <w:sz w:val="22"/>
                <w:szCs w:val="22"/>
              </w:rPr>
              <w:t xml:space="preserve">SEMANA 1</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SEMANA 2</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bCs/>
                <w:color w:val="222222"/>
                <w:sz w:val="22"/>
                <w:szCs w:val="22"/>
              </w:rPr>
              <w:t xml:space="preserve">✅ Criar repositório GitHub + estrutura Next.js</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 Scraper OLX + Mercado Livre funcionando</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bCs/>
                <w:color w:val="222222"/>
                <w:sz w:val="22"/>
                <w:szCs w:val="22"/>
              </w:rPr>
              <w:t xml:space="preserve">✅ Configurar projeto Supabase com schema base</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 Integração FIPE API para carros</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bCs/>
                <w:color w:val="222222"/>
                <w:sz w:val="22"/>
                <w:szCs w:val="22"/>
              </w:rPr>
              <w:t xml:space="preserve">✅ Deploy inicial no Vercel</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 Claude API — prompt de scoring funcional</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bCs/>
                <w:color w:val="222222"/>
                <w:sz w:val="22"/>
                <w:szCs w:val="22"/>
              </w:rPr>
              <w:t xml:space="preserve">✅ Tabela de fontes e primeiros 10 sites cadastrados</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 Dashboard com primeiros cards exibindo dados reais</w:t>
            </w:r>
          </w:p>
        </w:tc>
      </w:tr>
      <w:tr>
        <w:tc>
          <w:tcPr>
            <w:tcW w:type="dxa" w:w="4680"/>
            <w:tcBorders>
              <w:top w:val="single" w:color="CCCCCC" w:sz="1"/>
              <w:left w:val="single" w:color="CCCCCC" w:sz="1"/>
              <w:bottom w:val="single" w:color="CCCCCC" w:sz="1"/>
              <w:right w:val="single" w:color="CCCCCC" w:sz="1"/>
            </w:tcBorders>
            <w:shd w:fill="EAF1FB" w:val="clear"/>
            <w:tcMar>
              <w:top w:type="dxa" w:w="120"/>
              <w:left w:type="dxa" w:w="200"/>
              <w:bottom w:type="dxa" w:w="120"/>
              <w:right w:type="dxa" w:w="200"/>
            </w:tcMar>
          </w:tcPr>
          <w:p>
            <w:r>
              <w:rPr>
                <w:rFonts w:ascii="Arial" w:cs="Arial" w:eastAsia="Arial" w:hAnsi="Arial"/>
                <w:b/>
                <w:bCs/>
                <w:color w:val="222222"/>
                <w:sz w:val="22"/>
                <w:szCs w:val="22"/>
              </w:rPr>
              <w:t xml:space="preserve">✅ Autenticação de usuários (Supabase Auth)</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color w:val="333333"/>
                <w:sz w:val="22"/>
                <w:szCs w:val="22"/>
              </w:rPr>
              <w:t xml:space="preserve">✅ Sistema de alerta por e-mail funcionando</w:t>
            </w:r>
          </w:p>
        </w:tc>
      </w:tr>
    </w:tbl>
    <w:p>
      <w:pPr>
        <w:spacing w:before="160" w:after="160"/>
      </w:pPr>
      <w:r>
        <w:t xml:space="preserve"/>
      </w:r>
    </w:p>
    <w:p>
      <w:r>
        <w:br w:type="page"/>
      </w:r>
    </w:p>
    <w:p>
      <w:pPr>
        <w:shd w:fill="2B5EA7" w:val="clear"/>
        <w:spacing w:before="400" w:after="200"/>
      </w:pPr>
      <w:r>
        <w:rPr>
          <w:rFonts w:ascii="Arial" w:cs="Arial" w:eastAsia="Arial" w:hAnsi="Arial"/>
          <w:b/>
          <w:bCs/>
          <w:color w:val="FFFFFF"/>
          <w:sz w:val="26"/>
          <w:szCs w:val="26"/>
        </w:rPr>
        <w:t xml:space="preserve">  08. DIFERENCIAIS COMPETITIVOS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r>
              <w:rPr>
                <w:rFonts w:ascii="Arial" w:cs="Arial" w:eastAsia="Arial" w:hAnsi="Arial"/>
                <w:b/>
                <w:bCs/>
                <w:color w:val="FFFFFF"/>
                <w:sz w:val="20"/>
                <w:szCs w:val="20"/>
              </w:rPr>
              <w:t xml:space="preserve">DIMENSÃO</w:t>
            </w:r>
          </w:p>
        </w:tc>
        <w:tc>
          <w:tcPr>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r>
              <w:rPr>
                <w:rFonts w:ascii="Arial" w:cs="Arial" w:eastAsia="Arial" w:hAnsi="Arial"/>
                <w:b/>
                <w:bCs/>
                <w:color w:val="FFFFFF"/>
                <w:sz w:val="20"/>
                <w:szCs w:val="20"/>
              </w:rPr>
              <w:t xml:space="preserve">MERCADO ATUAL</w:t>
            </w:r>
          </w:p>
        </w:tc>
        <w:tc>
          <w:tcPr>
            <w:tcBorders>
              <w:top w:val="single" w:color="CCCCCC" w:sz="1"/>
              <w:left w:val="single" w:color="CCCCCC" w:sz="1"/>
              <w:bottom w:val="single" w:color="CCCCCC" w:sz="1"/>
              <w:right w:val="single" w:color="CCCCCC" w:sz="1"/>
            </w:tcBorders>
            <w:shd w:fill="2B5EA7" w:val="clear"/>
            <w:tcMar>
              <w:top w:type="dxa" w:w="100"/>
              <w:left w:type="dxa" w:w="160"/>
              <w:bottom w:type="dxa" w:w="100"/>
              <w:right w:type="dxa" w:w="160"/>
            </w:tcMar>
          </w:tcPr>
          <w:p>
            <w:r>
              <w:rPr>
                <w:rFonts w:ascii="Arial" w:cs="Arial" w:eastAsia="Arial" w:hAnsi="Arial"/>
                <w:b/>
                <w:bCs/>
                <w:color w:val="FFFFFF"/>
                <w:sz w:val="20"/>
                <w:szCs w:val="20"/>
              </w:rPr>
              <w:t xml:space="preserve">GARIMPO IA</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Cobertura</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Um site por vez, manual</w:t>
            </w:r>
          </w:p>
        </w:tc>
        <w:tc>
          <w:tcPr>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bCs/>
                <w:color w:val="1A7A4A"/>
                <w:sz w:val="20"/>
                <w:szCs w:val="20"/>
              </w:rPr>
              <w:t xml:space="preserve">50+ fontes monitoradas 24/7 simultaneamente</w:t>
            </w:r>
          </w:p>
        </w:tc>
      </w:tr>
      <w:tr>
        <w:tc>
          <w:tcPr>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20"/>
                <w:szCs w:val="20"/>
              </w:rPr>
              <w:t xml:space="preserve">Análise</w:t>
            </w:r>
          </w:p>
        </w:tc>
        <w:tc>
          <w:tcPr>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20"/>
                <w:szCs w:val="20"/>
              </w:rPr>
              <w:t xml:space="preserve">Preço bruto apenas</w:t>
            </w:r>
          </w:p>
        </w:tc>
        <w:tc>
          <w:tcPr>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bCs/>
                <w:color w:val="1A7A4A"/>
                <w:sz w:val="20"/>
                <w:szCs w:val="20"/>
              </w:rPr>
              <w:t xml:space="preserve">Score 0-100 com análise financeira completa de IA</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Custo real</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O usuário calcula (ou esquece)</w:t>
            </w:r>
          </w:p>
        </w:tc>
        <w:tc>
          <w:tcPr>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bCs/>
                <w:color w:val="1A7A4A"/>
                <w:sz w:val="20"/>
                <w:szCs w:val="20"/>
              </w:rPr>
              <w:t xml:space="preserve">Custo total calculado automaticamente por categoria</w:t>
            </w:r>
          </w:p>
        </w:tc>
      </w:tr>
      <w:tr>
        <w:tc>
          <w:tcPr>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20"/>
                <w:szCs w:val="20"/>
              </w:rPr>
              <w:t xml:space="preserve">Velocidade</w:t>
            </w:r>
          </w:p>
        </w:tc>
        <w:tc>
          <w:tcPr>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20"/>
                <w:szCs w:val="20"/>
              </w:rPr>
              <w:t xml:space="preserve">O usuário descobre tarde</w:t>
            </w:r>
          </w:p>
        </w:tc>
        <w:tc>
          <w:tcPr>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bCs/>
                <w:color w:val="1A7A4A"/>
                <w:sz w:val="20"/>
                <w:szCs w:val="20"/>
              </w:rPr>
              <w:t xml:space="preserve">Alerta em minutos após publicação do leilão</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Histórico</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Não existe</w:t>
            </w:r>
          </w:p>
        </w:tc>
        <w:tc>
          <w:tcPr>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bCs/>
                <w:color w:val="1A7A4A"/>
                <w:sz w:val="20"/>
                <w:szCs w:val="20"/>
              </w:rPr>
              <w:t xml:space="preserve">Banco de dados de preços crescente — vantagem composta</w:t>
            </w:r>
          </w:p>
        </w:tc>
      </w:tr>
      <w:tr>
        <w:tc>
          <w:tcPr>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20"/>
                <w:szCs w:val="20"/>
              </w:rPr>
              <w:t xml:space="preserve">Risco</w:t>
            </w:r>
          </w:p>
        </w:tc>
        <w:tc>
          <w:tcPr>
            <w:tcBorders>
              <w:top w:val="single" w:color="CCCCCC" w:sz="1"/>
              <w:left w:val="single" w:color="CCCCCC" w:sz="1"/>
              <w:bottom w:val="single" w:color="CCCCCC" w:sz="1"/>
              <w:right w:val="single" w:color="CCCCCC" w:sz="1"/>
            </w:tcBorders>
            <w:shd w:fill="EAF1FB" w:val="clear"/>
            <w:tcMar>
              <w:top w:type="dxa" w:w="100"/>
              <w:left w:type="dxa" w:w="160"/>
              <w:bottom w:type="dxa" w:w="100"/>
              <w:right w:type="dxa" w:w="160"/>
            </w:tcMar>
          </w:tcPr>
          <w:p>
            <w:r>
              <w:rPr>
                <w:rFonts w:ascii="Arial" w:cs="Arial" w:eastAsia="Arial" w:hAnsi="Arial"/>
                <w:b w:val="false"/>
                <w:bCs w:val="false"/>
                <w:color w:val="222222"/>
                <w:sz w:val="20"/>
                <w:szCs w:val="20"/>
              </w:rPr>
              <w:t xml:space="preserve">O usuário não sabe</w:t>
            </w:r>
          </w:p>
        </w:tc>
        <w:tc>
          <w:tcPr>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bCs/>
                <w:color w:val="1A7A4A"/>
                <w:sz w:val="20"/>
                <w:szCs w:val="20"/>
              </w:rPr>
              <w:t xml:space="preserve">IA identifica e lista riscos específicos de cada ativo</w:t>
            </w:r>
          </w:p>
        </w:tc>
      </w:tr>
      <w:tr>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Inteligência local</w:t>
            </w:r>
          </w:p>
        </w:tc>
        <w:tc>
          <w:tcPr>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20"/>
                <w:szCs w:val="20"/>
              </w:rPr>
              <w:t xml:space="preserve">Zero</w:t>
            </w:r>
          </w:p>
        </w:tc>
        <w:tc>
          <w:tcPr>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r>
              <w:rPr>
                <w:rFonts w:ascii="Arial" w:cs="Arial" w:eastAsia="Arial" w:hAnsi="Arial"/>
                <w:b/>
                <w:bCs/>
                <w:color w:val="1A7A4A"/>
                <w:sz w:val="20"/>
                <w:szCs w:val="20"/>
              </w:rPr>
              <w:t xml:space="preserve">Conhecimento do mercado de Tocantins e Centro-Oeste</w:t>
            </w:r>
          </w:p>
        </w:tc>
      </w:tr>
    </w:tbl>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60"/>
              <w:left w:type="dxa" w:w="240"/>
              <w:bottom w:type="dxa" w:w="160"/>
              <w:right w:type="dxa" w:w="240"/>
            </w:tcMar>
          </w:tcPr>
          <w:p>
            <w:r>
              <w:rPr>
                <w:rFonts w:ascii="Arial" w:cs="Arial" w:eastAsia="Arial" w:hAnsi="Arial"/>
                <w:b/>
                <w:bCs/>
                <w:color w:val="1A3F6F"/>
                <w:sz w:val="24"/>
                <w:szCs w:val="24"/>
              </w:rPr>
              <w:t xml:space="preserve">Vantagem que se acumula com o tempo</w:t>
            </w:r>
          </w:p>
          <w:p>
            <w:r>
              <w:rPr>
                <w:rFonts w:ascii="Arial" w:cs="Arial" w:eastAsia="Arial" w:hAnsi="Arial"/>
                <w:color w:val="333333"/>
                <w:sz w:val="22"/>
                <w:szCs w:val="22"/>
              </w:rPr>
              <w:t xml:space="preserve">Cada leilão registrado no Supabase melhora a precisão dos scores futuros. Quanto mais tempo rodando, mais inteligente o sistema fica — e mais difícil para qualquer concorrente replicar sem anos de dados históricos. Isso é um moat real.</w:t>
            </w:r>
          </w:p>
        </w:tc>
      </w:tr>
    </w:tbl>
    <w:p>
      <w:pP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F6F" w:val="clear"/>
            <w:tcMar>
              <w:top w:type="dxa" w:w="240"/>
              <w:left w:type="dxa" w:w="360"/>
              <w:bottom w:type="dxa" w:w="240"/>
              <w:right w:type="dxa" w:w="360"/>
            </w:tcMar>
          </w:tcPr>
          <w:p>
            <w:pPr>
              <w:jc w:val="center"/>
            </w:pPr>
            <w:r>
              <w:rPr>
                <w:rFonts w:ascii="Arial" w:cs="Arial" w:eastAsia="Arial" w:hAnsi="Arial"/>
                <w:b/>
                <w:bCs/>
                <w:color w:val="FFFFFF"/>
                <w:sz w:val="22"/>
                <w:szCs w:val="22"/>
              </w:rPr>
              <w:t xml:space="preserve">GARIMPO IA™  —  Market Briefing v1.0  —  Fevereiro 2026</w:t>
            </w:r>
          </w:p>
          <w:p>
            <w:pPr>
              <w:jc w:val="center"/>
            </w:pPr>
            <w:r>
              <w:rPr>
                <w:rFonts w:ascii="Arial" w:cs="Arial" w:eastAsia="Arial" w:hAnsi="Arial"/>
                <w:color w:val="AABBCC"/>
                <w:sz w:val="18"/>
                <w:szCs w:val="18"/>
              </w:rPr>
              <w:t xml:space="preserve">Documento confidencial. Desenvolvido no ecossistema ALSHAM GLOBAL.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2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2026-02-27T09:53:02.726Z</dcterms:created>
  <dcterms:modified xsi:type="dcterms:W3CDTF">2026-02-27T09:53:02.727Z</dcterms:modified>
</cp:coreProperties>
</file>

<file path=docProps/custom.xml><?xml version="1.0" encoding="utf-8"?>
<Properties xmlns="http://schemas.openxmlformats.org/officeDocument/2006/custom-properties" xmlns:vt="http://schemas.openxmlformats.org/officeDocument/2006/docPropsVTypes"/>
</file>