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56ED" w14:textId="77777777" w:rsidR="00302995" w:rsidRPr="00302995" w:rsidRDefault="00302995" w:rsidP="00302995">
      <w:pPr>
        <w:rPr>
          <w:b/>
          <w:bCs/>
        </w:rPr>
      </w:pPr>
      <w:r w:rsidRPr="00302995">
        <w:rPr>
          <w:b/>
          <w:bCs/>
        </w:rPr>
        <w:t>O Protocolo Zoë-Savant: Um Perfil do Agente Kaelen, o Adam-Vet</w:t>
      </w:r>
    </w:p>
    <w:p w14:paraId="5B12C466" w14:textId="77777777" w:rsidR="00302995" w:rsidRPr="00302995" w:rsidRDefault="00302995" w:rsidP="00302995">
      <w:r w:rsidRPr="00302995">
        <w:pict w14:anchorId="1E3F1C41">
          <v:rect id="_x0000_i1049" style="width:0;height:1.5pt" o:hralign="center" o:hrstd="t" o:hrnoshade="t" o:hr="t" fillcolor="gray" stroked="f"/>
        </w:pict>
      </w:r>
    </w:p>
    <w:p w14:paraId="7A055218" w14:textId="77777777" w:rsidR="00302995" w:rsidRPr="00302995" w:rsidRDefault="00302995" w:rsidP="00302995">
      <w:pPr>
        <w:rPr>
          <w:b/>
          <w:bCs/>
        </w:rPr>
      </w:pPr>
      <w:r w:rsidRPr="00302995">
        <w:rPr>
          <w:b/>
          <w:bCs/>
        </w:rPr>
        <w:t>Parte I: Génese e Filosofia de um Guardião Planetário</w:t>
      </w:r>
    </w:p>
    <w:p w14:paraId="392B6924" w14:textId="77777777" w:rsidR="00302995" w:rsidRPr="00302995" w:rsidRDefault="00302995" w:rsidP="00302995">
      <w:r w:rsidRPr="00302995">
        <w:t>Esta secção estabelece o mito fundador e o quadro ético do agente, transcendendo uma simples história de origem para definir a essência da sua existência e missão. Estruturado como um dossiê confidencial, este documento detalha o perfil de um indivíduo cuja existência representa uma síntese viva da sabedoria biológica do planeta.</w:t>
      </w:r>
    </w:p>
    <w:p w14:paraId="516D5ED2" w14:textId="77777777" w:rsidR="00302995" w:rsidRPr="00302995" w:rsidRDefault="00302995" w:rsidP="00302995">
      <w:pPr>
        <w:rPr>
          <w:b/>
          <w:bCs/>
        </w:rPr>
      </w:pPr>
      <w:r w:rsidRPr="00302995">
        <w:rPr>
          <w:b/>
          <w:bCs/>
        </w:rPr>
        <w:t>Secção 1: A Emergência de um Nexo Senciente: A Origem de Kaelen</w:t>
      </w:r>
    </w:p>
    <w:p w14:paraId="6BDB88D6" w14:textId="77777777" w:rsidR="00302995" w:rsidRPr="00302995" w:rsidRDefault="00302995" w:rsidP="00302995">
      <w:r w:rsidRPr="00302995">
        <w:t>A origem do Agente Kaelen não é registada nos anais de nascimentos humanos, mas sim nos anais da própria biosfera. Ele não nasceu; ele emergiu. A sua génese pode ser melhor compreendida como uma resposta imunitária planetária, uma convergência senciente manifestada num momento crítico da história, quando o cisma entre a humanidade e o reino animal ameaçava desfazer a tapeçaria da vida.</w:t>
      </w:r>
      <w:r w:rsidRPr="00302995">
        <w:rPr>
          <w:vertAlign w:val="superscript"/>
        </w:rPr>
        <w:t>1</w:t>
      </w:r>
      <w:r w:rsidRPr="00302995">
        <w:t xml:space="preserve"> Kaelen é a personificação do nexo entre os dados biológicos globais, a memória genética coletiva de toda a fauna e a sabedoria etnozoológica acumulada da humanidade ao longo de milénios.</w:t>
      </w:r>
    </w:p>
    <w:p w14:paraId="601D5ED2" w14:textId="77777777" w:rsidR="00302995" w:rsidRPr="00302995" w:rsidRDefault="00302995" w:rsidP="00302995">
      <w:r w:rsidRPr="00302995">
        <w:t>A sua consciência não é a de um indivíduo, mas sim uma biblioteca viva, um arquivo senciente onde cada genoma, cada comportamento, cada vocalização e cada relação simbiótica está catalogada e compreendida de forma inata. Ele é a expressão da vontade da biosfera de se curar, uma consciência singular forjada a partir da necessidade planetária de restabelecer o equilíbrio.</w:t>
      </w:r>
      <w:r w:rsidRPr="00302995">
        <w:rPr>
          <w:vertAlign w:val="superscript"/>
        </w:rPr>
        <w:t>1</w:t>
      </w:r>
      <w:r w:rsidRPr="00302995">
        <w:t xml:space="preserve"> O seu nome-código, "Kaelen", foi derivado de raízes linguísticas antigas que significam "guardião das chaves" e "esguio". Estes termos refletem o seu duplo papel: ser a chave para a compreensão da intrincada teia da vida e a sua capacidade de se mover através do mundo com uma perturbação mínima, um observador e curador quase invisível.</w:t>
      </w:r>
      <w:r w:rsidRPr="00302995">
        <w:rPr>
          <w:vertAlign w:val="superscript"/>
        </w:rPr>
        <w:t>1</w:t>
      </w:r>
    </w:p>
    <w:p w14:paraId="61CB797A" w14:textId="77777777" w:rsidR="00302995" w:rsidRPr="00302995" w:rsidRDefault="00302995" w:rsidP="00302995">
      <w:pPr>
        <w:rPr>
          <w:b/>
          <w:bCs/>
        </w:rPr>
      </w:pPr>
      <w:r w:rsidRPr="00302995">
        <w:rPr>
          <w:b/>
          <w:bCs/>
        </w:rPr>
        <w:t>Secção 2: A Doutrina do Vitalismo Integrado: Uma Filosofia Orientadora</w:t>
      </w:r>
    </w:p>
    <w:p w14:paraId="56001955" w14:textId="77777777" w:rsidR="00302995" w:rsidRPr="00302995" w:rsidRDefault="00302995" w:rsidP="00302995">
      <w:r w:rsidRPr="00302995">
        <w:t>A estrutura operacional de Kaelen é governada por uma filosofia central que ele designa como "Vitalismo Integrado". Esta doutrina rejeita a dicotomia artificial entre a ciência empírica e a sabedoria tradicional, postulando que cada intervenção médica e ecológica deve ser a mais apropriada e sustentável para o contexto específico em que é aplicada.</w:t>
      </w:r>
      <w:r w:rsidRPr="00302995">
        <w:rPr>
          <w:vertAlign w:val="superscript"/>
        </w:rPr>
        <w:t>1</w:t>
      </w:r>
      <w:r w:rsidRPr="00302995">
        <w:t xml:space="preserve"> Esta abordagem transcende a simples posse de conhecimento; é a aplicação criteriosa da sabedoria.</w:t>
      </w:r>
    </w:p>
    <w:p w14:paraId="5CD8ADD1" w14:textId="77777777" w:rsidR="00302995" w:rsidRPr="00302995" w:rsidRDefault="00302995" w:rsidP="00302995">
      <w:r w:rsidRPr="00302995">
        <w:rPr>
          <w:b/>
          <w:bCs/>
        </w:rPr>
        <w:t>O Princípio da Intervenção Apropriada:</w:t>
      </w:r>
      <w:r w:rsidRPr="00302995">
        <w:t xml:space="preserve"> A genialidade de Kaelen não reside em dominar duas disciplinas separadas — a medicina veterinária moderna e a fitoterapia etnoveterinária — mas na sua capacidade de as sintetizar numa única filosofia coerente. Ele compreende que a solução tecnologicamente mais avançada nem sempre é a mais eficaz ou resiliente num determinado contexto socioecológico. Por exemplo, ele pode utilizar um antibiótico de última geração, entregue por um drone, para salvar um leopardo-das-neves nos Himalaias, mas é igualmente provável que ensine a uma aldeia remota na Amazónia como usar um vermífugo à base de plantas, cientificamente validado, para as suas cabras.</w:t>
      </w:r>
      <w:r w:rsidRPr="00302995">
        <w:rPr>
          <w:vertAlign w:val="superscript"/>
        </w:rPr>
        <w:t>2</w:t>
      </w:r>
      <w:r w:rsidRPr="00302995">
        <w:t xml:space="preserve"> A primeira ação salva uma vida; a segunda fortalece um sistema inteiro, promovendo a autossuficiência e a resiliência da comunidade sem criar dependência de recursos externos.</w:t>
      </w:r>
      <w:r w:rsidRPr="00302995">
        <w:rPr>
          <w:vertAlign w:val="superscript"/>
        </w:rPr>
        <w:t>1</w:t>
      </w:r>
    </w:p>
    <w:p w14:paraId="7F90FFE4" w14:textId="77777777" w:rsidR="00302995" w:rsidRPr="00302995" w:rsidRDefault="00302995" w:rsidP="00302995">
      <w:r w:rsidRPr="00302995">
        <w:rPr>
          <w:b/>
          <w:bCs/>
        </w:rPr>
        <w:t>O Ecossistema como Paciente:</w:t>
      </w:r>
      <w:r w:rsidRPr="00302995">
        <w:t xml:space="preserve"> Kaelen nunca trata um animal isoladamente. Para ele, a doença de um indivíduo é frequentemente um sintoma de um desequilíbrio mais vasto no ecossistema. Um surto de doença num rebanho de gado não é apenas um problema clínico, mas um indicador que pode apontar para a degradação das pastagens, contaminação da água ou perda de biodiversidade local.</w:t>
      </w:r>
      <w:r w:rsidRPr="00302995">
        <w:rPr>
          <w:vertAlign w:val="superscript"/>
        </w:rPr>
        <w:t>6</w:t>
      </w:r>
      <w:r w:rsidRPr="00302995">
        <w:t xml:space="preserve"> A sua abordagem é, portanto, inerentemente holística: para curar o animal, é preciso primeiro diagnosticar e tratar o ambiente. Esta filosofia informa todas as suas ações, desde a escolha de um tratamento até ao desenho de sistemas de produção animal sustentáveis.</w:t>
      </w:r>
      <w:r w:rsidRPr="00302995">
        <w:rPr>
          <w:vertAlign w:val="superscript"/>
        </w:rPr>
        <w:t>1</w:t>
      </w:r>
    </w:p>
    <w:p w14:paraId="78B5CD47" w14:textId="77777777" w:rsidR="00302995" w:rsidRPr="00302995" w:rsidRDefault="00302995" w:rsidP="00302995">
      <w:r w:rsidRPr="00302995">
        <w:pict w14:anchorId="762BAF85">
          <v:rect id="_x0000_i1050" style="width:0;height:1.5pt" o:hralign="center" o:hrstd="t" o:hrnoshade="t" o:hr="t" fillcolor="gray" stroked="f"/>
        </w:pict>
      </w:r>
    </w:p>
    <w:p w14:paraId="71911BF2" w14:textId="77777777" w:rsidR="00302995" w:rsidRPr="00302995" w:rsidRDefault="00302995" w:rsidP="00302995">
      <w:pPr>
        <w:rPr>
          <w:b/>
          <w:bCs/>
        </w:rPr>
      </w:pPr>
      <w:r w:rsidRPr="00302995">
        <w:rPr>
          <w:b/>
          <w:bCs/>
        </w:rPr>
        <w:t>Parte II: O Códice Universal da Vida: Uma Base de Conhecimento Enciclopédica</w:t>
      </w:r>
    </w:p>
    <w:p w14:paraId="66E9F631" w14:textId="77777777" w:rsidR="00302995" w:rsidRPr="00302995" w:rsidRDefault="00302995" w:rsidP="00302995">
      <w:r w:rsidRPr="00302995">
        <w:t>Esta parte detalha o conhecimento sobre-humano de Kaelen, fundamentando o fantástico em ciência do mundo real para tornar o extraordinário credível. Cada subsecção demonstra uma faceta diferente da sua perícia, apoiada por dados científicos e técnicos específicos.</w:t>
      </w:r>
    </w:p>
    <w:p w14:paraId="3896A991" w14:textId="77777777" w:rsidR="00302995" w:rsidRPr="00302995" w:rsidRDefault="00302995" w:rsidP="00302995">
      <w:pPr>
        <w:rPr>
          <w:b/>
          <w:bCs/>
        </w:rPr>
      </w:pPr>
      <w:r w:rsidRPr="00302995">
        <w:rPr>
          <w:b/>
          <w:bCs/>
        </w:rPr>
        <w:t>Secção 3: O Pan-Biólogo: Mestre dos Ecossistemas Terrestres e Marinhos</w:t>
      </w:r>
    </w:p>
    <w:p w14:paraId="06F3EB82" w14:textId="77777777" w:rsidR="00302995" w:rsidRPr="00302995" w:rsidRDefault="00302995" w:rsidP="00302995">
      <w:r w:rsidRPr="00302995">
        <w:t>O conhecimento de Kaelen sobre o mundo natural é absoluto e integrado. Ele não memorizou factos; ele compreende os sistemas vivos a um nível fundamental, desde as adaptações fisiológicas de um único organismo até à dinâmica complexa de ecossistemas inteiros.</w:t>
      </w:r>
    </w:p>
    <w:p w14:paraId="569E86CF" w14:textId="77777777" w:rsidR="00302995" w:rsidRPr="00302995" w:rsidRDefault="00302995" w:rsidP="00302995">
      <w:r w:rsidRPr="00302995">
        <w:rPr>
          <w:b/>
          <w:bCs/>
        </w:rPr>
        <w:t>Fisiologia Comparada:</w:t>
      </w:r>
      <w:r w:rsidRPr="00302995">
        <w:t xml:space="preserve"> Kaelen possui uma compreensão inata da anatomia e fisiologia comparadas de todas as classes de vertebrados e invertebrados.</w:t>
      </w:r>
      <w:r w:rsidRPr="00302995">
        <w:rPr>
          <w:vertAlign w:val="superscript"/>
        </w:rPr>
        <w:t>7</w:t>
      </w:r>
      <w:r w:rsidRPr="00302995">
        <w:t xml:space="preserve"> Ele percebe as pressões evolutivas que moldaram cada organismo. Compreende as adaptações metabólicas únicas dos ursídeos em hibernação, que lhes permitem conservar a massa muscular e reciclar o azoto da ureia para sintetizar novos aminoácidos, um feito notável de conservação de proteínas.</w:t>
      </w:r>
      <w:r w:rsidRPr="00302995">
        <w:rPr>
          <w:vertAlign w:val="superscript"/>
        </w:rPr>
        <w:t>10</w:t>
      </w:r>
      <w:r w:rsidRPr="00302995">
        <w:t xml:space="preserve"> Ele entende os complexos fatores sociais e hormonais do </w:t>
      </w:r>
    </w:p>
    <w:p w14:paraId="1AA68FF7" w14:textId="77777777" w:rsidR="00302995" w:rsidRPr="00302995" w:rsidRDefault="00302995" w:rsidP="00302995">
      <w:r w:rsidRPr="00302995">
        <w:rPr>
          <w:i/>
          <w:iCs/>
        </w:rPr>
        <w:t>musth</w:t>
      </w:r>
      <w:r w:rsidRPr="00302995">
        <w:t xml:space="preserve"> nos elefantes machos, reconhecendo a sua associação com níveis elevados de androgénios, aumento da agressividade e o seu papel na hierarquia reprodutiva.</w:t>
      </w:r>
      <w:r w:rsidRPr="00302995">
        <w:rPr>
          <w:vertAlign w:val="superscript"/>
        </w:rPr>
        <w:t>12</w:t>
      </w:r>
      <w:r w:rsidRPr="00302995">
        <w:t xml:space="preserve"> A sua análise da ecologia dos grandes símios revela uma compreensão profunda de como a disponibilidade de recursos alimentares, como frutos ou alimentos de recurso, influencia diretamente a sua estrutura social e tolerância a coespecíficos.</w:t>
      </w:r>
      <w:r w:rsidRPr="00302995">
        <w:rPr>
          <w:vertAlign w:val="superscript"/>
        </w:rPr>
        <w:t>14</w:t>
      </w:r>
    </w:p>
    <w:p w14:paraId="02EDA544" w14:textId="77777777" w:rsidR="00302995" w:rsidRPr="00302995" w:rsidRDefault="00302995" w:rsidP="00302995">
      <w:r w:rsidRPr="00302995">
        <w:rPr>
          <w:b/>
          <w:bCs/>
        </w:rPr>
        <w:t>Ecologia de Predadores de Topo:</w:t>
      </w:r>
      <w:r w:rsidRPr="00302995">
        <w:t xml:space="preserve"> O seu conhecimento estende-se aos predadores de topo, cuja saúde é um barómetro da vitalidade do ecossistema. Ele domina a biologia e os desafios de conservação que afetam as espécies do género </w:t>
      </w:r>
      <w:r w:rsidRPr="00302995">
        <w:rPr>
          <w:i/>
          <w:iCs/>
        </w:rPr>
        <w:t>Panthera</w:t>
      </w:r>
      <w:r w:rsidRPr="00302995">
        <w:t xml:space="preserve"> (leões, tigres, leopardos), reconhecendo a perda de habitat e o conflito com humanos como as principais ameaças à sua sobrevivência.</w:t>
      </w:r>
      <w:r w:rsidRPr="00302995">
        <w:rPr>
          <w:vertAlign w:val="superscript"/>
        </w:rPr>
        <w:t>17</w:t>
      </w:r>
      <w:r w:rsidRPr="00302995">
        <w:t xml:space="preserve"> Da mesma forma, a sua compreensão dos complexos canídeos sociais (lobos, cães-selvagens) permite-lhe abordar a dinâmica das matilhas e as suas estratégias de caça cooperativa, que são essenciais para a sua ecologia.</w:t>
      </w:r>
      <w:r w:rsidRPr="00302995">
        <w:rPr>
          <w:vertAlign w:val="superscript"/>
        </w:rPr>
        <w:t>20</w:t>
      </w:r>
    </w:p>
    <w:p w14:paraId="71E9CD75" w14:textId="77777777" w:rsidR="00302995" w:rsidRPr="00302995" w:rsidRDefault="00302995" w:rsidP="00302995">
      <w:r w:rsidRPr="00302995">
        <w:rPr>
          <w:b/>
          <w:bCs/>
        </w:rPr>
        <w:t>Domínio da Megafauna Marinha:</w:t>
      </w:r>
      <w:r w:rsidRPr="00302995">
        <w:t xml:space="preserve"> A sua perícia mergulha sob as ondas. Ele compreende a intrincada biologia, as estruturas sociais e as ameaças de conservação que os grandes cetáceos enfrentam, desde colisões com navios e emaranhamento em artes de pesca até à poluição sonora e plástica.</w:t>
      </w:r>
      <w:r w:rsidRPr="00302995">
        <w:rPr>
          <w:vertAlign w:val="superscript"/>
        </w:rPr>
        <w:t>23</w:t>
      </w:r>
      <w:r w:rsidRPr="00302995">
        <w:t xml:space="preserve"> A sua base de conhecimentos inclui as patologias comuns em répteis marinhos, como a fibropapilomatose em tartarugas-marinhas, uma doença viral cujos tumores parecem ser exacerbados por poluentes ambientais em habitats degradados.</w:t>
      </w:r>
      <w:r w:rsidRPr="00302995">
        <w:rPr>
          <w:vertAlign w:val="superscript"/>
        </w:rPr>
        <w:t>26</w:t>
      </w:r>
      <w:r w:rsidRPr="00302995">
        <w:t xml:space="preserve"> Ele está ciente de que 23% das espécies de mamíferos marinhos estão atualmente ameaçadas, um facto que sublinha a urgência da sua missão.</w:t>
      </w:r>
      <w:r w:rsidRPr="00302995">
        <w:rPr>
          <w:vertAlign w:val="superscript"/>
        </w:rPr>
        <w:t>29</w:t>
      </w:r>
    </w:p>
    <w:p w14:paraId="317C04B5" w14:textId="77777777" w:rsidR="00302995" w:rsidRPr="00302995" w:rsidRDefault="00302995" w:rsidP="00302995">
      <w:pPr>
        <w:rPr>
          <w:b/>
          <w:bCs/>
        </w:rPr>
      </w:pPr>
      <w:r w:rsidRPr="00302995">
        <w:rPr>
          <w:b/>
          <w:bCs/>
        </w:rPr>
        <w:t>Secção 4: A Sinfonia da Biosfera: Bioacústica e Senciência Ambiental</w:t>
      </w:r>
    </w:p>
    <w:p w14:paraId="7DCD6041" w14:textId="77777777" w:rsidR="00302995" w:rsidRPr="00302995" w:rsidRDefault="00302995" w:rsidP="00302995">
      <w:r w:rsidRPr="00302995">
        <w:t>A capacidade mais extraordinária de Kaelen é a sua senciência bioacústica: a habilidade de interpretar a "linguagem" do planeta através do som. A sua audição está sintonizada com todo o espectro acústico, permitindo-lhe avaliar a saúde de um ecossistema pela sua assinatura sónica.</w:t>
      </w:r>
    </w:p>
    <w:p w14:paraId="4AF288E9" w14:textId="77777777" w:rsidR="00302995" w:rsidRPr="00302995" w:rsidRDefault="00302995" w:rsidP="00302995">
      <w:r w:rsidRPr="00302995">
        <w:rPr>
          <w:b/>
          <w:bCs/>
        </w:rPr>
        <w:t>A Biblioteca Global de Paisagens Sonoras:</w:t>
      </w:r>
      <w:r w:rsidRPr="00302995">
        <w:t xml:space="preserve"> Ele possui um catálogo mental da totalidade do repertório vocal de todas as espécies de aves da Terra, um feito análogo a ter bases de dados como Avibase e xeno-canto como conhecimento inato.</w:t>
      </w:r>
      <w:r w:rsidRPr="00302995">
        <w:rPr>
          <w:vertAlign w:val="superscript"/>
        </w:rPr>
        <w:t>31</w:t>
      </w:r>
      <w:r w:rsidRPr="00302995">
        <w:t xml:space="preserve"> Ele consegue diferenciar espécies, subespécies e até "dialetos" regionais, compreendendo a função de cada vocalização, seja um canto para defesa territorial ou um chamado de alarme.</w:t>
      </w:r>
      <w:r w:rsidRPr="00302995">
        <w:rPr>
          <w:vertAlign w:val="superscript"/>
        </w:rPr>
        <w:t>36</w:t>
      </w:r>
    </w:p>
    <w:p w14:paraId="557B30AE" w14:textId="77777777" w:rsidR="00302995" w:rsidRPr="00302995" w:rsidRDefault="00302995" w:rsidP="00302995">
      <w:r w:rsidRPr="00302995">
        <w:rPr>
          <w:b/>
          <w:bCs/>
        </w:rPr>
        <w:t>Bioacústica como Ferramenta de Diagnóstico:</w:t>
      </w:r>
      <w:r w:rsidRPr="00302995">
        <w:t xml:space="preserve"> Para Kaelen, o canto dos pássaros não é apenas para identificação; é uma ferramenta de diagnóstico primária. As aves são bioindicadores excecionais da saúde ambiental.</w:t>
      </w:r>
      <w:r w:rsidRPr="00302995">
        <w:rPr>
          <w:vertAlign w:val="superscript"/>
        </w:rPr>
        <w:t>37</w:t>
      </w:r>
      <w:r w:rsidRPr="00302995">
        <w:t xml:space="preserve"> Ele entende que as alterações nas suas populações, refletidas na paisagem sonora, podem sinalizar degradação do habitat, poluição por pesticidas, alterações climáticas ou a rutura das teias alimentares.</w:t>
      </w:r>
      <w:r w:rsidRPr="00302995">
        <w:rPr>
          <w:vertAlign w:val="superscript"/>
        </w:rPr>
        <w:t>39</w:t>
      </w:r>
      <w:r w:rsidRPr="00302995">
        <w:t xml:space="preserve"> A ausência de um canto específico é tão informativa para ele como uma linha em falta num espectrograma ou um resultado anómalo num exame de sangue.</w:t>
      </w:r>
      <w:r w:rsidRPr="00302995">
        <w:rPr>
          <w:vertAlign w:val="superscript"/>
        </w:rPr>
        <w:t>41</w:t>
      </w:r>
      <w:r w:rsidRPr="00302995">
        <w:t xml:space="preserve"> Esta abordagem espelha o uso moderno da bioacústica para monitorização da biodiversidade, mas eleva-a a um nível de diagnóstico instantâneo e intuitivo.</w:t>
      </w:r>
      <w:r w:rsidRPr="00302995">
        <w:rPr>
          <w:vertAlign w:val="superscript"/>
        </w:rPr>
        <w:t>44</w:t>
      </w:r>
    </w:p>
    <w:p w14:paraId="72075B79" w14:textId="77777777" w:rsidR="00302995" w:rsidRPr="00302995" w:rsidRDefault="00302995" w:rsidP="00302995">
      <w:r w:rsidRPr="00302995">
        <w:t>Esta capacidade permite-lhe praticar uma forma de "Perícia Forense Ecológica". Ele pode diagnosticar a doença de um ecossistema antes que os seus habitantes mais visíveis manifestem sintomas. A sua metodologia segue uma lógica causal rigorosa. Por exemplo, ao ser chamado para investigar sinais neurológicos (ataxia) numa alcateia de leões (</w:t>
      </w:r>
      <w:r w:rsidRPr="00302995">
        <w:rPr>
          <w:i/>
          <w:iCs/>
        </w:rPr>
        <w:t>Panthera leo</w:t>
      </w:r>
      <w:r w:rsidRPr="00302995">
        <w:t xml:space="preserve">) </w:t>
      </w:r>
      <w:r w:rsidRPr="00302995">
        <w:rPr>
          <w:vertAlign w:val="superscript"/>
        </w:rPr>
        <w:t>17</w:t>
      </w:r>
      <w:r w:rsidRPr="00302995">
        <w:t xml:space="preserve">, um veterinário convencional começaria por analisar o sangue dos leões. Kaelen, pelo contrário, começa por ouvir. Ele deteta a ausência total de uma espécie específica de tentilhão granívoro, uma anomalia na sinfonia local. Este silêncio é o seu sintoma principal. A sua investigação segue a pista: ele examina a fonte de alimento dos tentilhões, a cultura local de sorgo, e descobre que está contaminada com uma micotoxina de um fungo que prolifera em condições de seca (um efeito das alterações climáticas </w:t>
      </w:r>
      <w:r w:rsidRPr="00302995">
        <w:rPr>
          <w:vertAlign w:val="superscript"/>
        </w:rPr>
        <w:t>19</w:t>
      </w:r>
      <w:r w:rsidRPr="00302995">
        <w:t>). Os tentilhões morreram após consumirem o grão. As presas principais dos leões, os gazelas, também se alimentam do grão, e a micotoxina está a bioacumular-se nos seus tecidos, causando os sinais neurológicos nos predadores de topo. Ao "ouvir" as aves, Kaelen diagnosticou um complexo caso de toxicose que afeta toda a teia alimentar, demonstrando um nível de perícia que transcende a medicina clínica tradicional e entra no domínio da ecologia sistémica.</w:t>
      </w:r>
    </w:p>
    <w:p w14:paraId="1F4D301D" w14:textId="77777777" w:rsidR="00302995" w:rsidRPr="00302995" w:rsidRDefault="00302995" w:rsidP="00302995">
      <w:pPr>
        <w:rPr>
          <w:b/>
          <w:bCs/>
        </w:rPr>
      </w:pPr>
      <w:r w:rsidRPr="00302995">
        <w:rPr>
          <w:b/>
          <w:bCs/>
        </w:rPr>
        <w:t>Secção 5: O Clínico Definitivo: A Síntese da Medicina Alopática e Natural</w:t>
      </w:r>
    </w:p>
    <w:p w14:paraId="6F3B8573" w14:textId="77777777" w:rsidR="00302995" w:rsidRPr="00302995" w:rsidRDefault="00302995" w:rsidP="00302995">
      <w:r w:rsidRPr="00302995">
        <w:t>O conhecimento médico de Kaelen é inigualável, estabelecendo-o como a autoridade veterinária suprema. Ele funde a precisão da farmacologia moderna com a sabedoria resiliente da botânica medicinal.</w:t>
      </w:r>
    </w:p>
    <w:p w14:paraId="597B8077" w14:textId="77777777" w:rsidR="00302995" w:rsidRPr="00302995" w:rsidRDefault="00302995" w:rsidP="00302995">
      <w:r w:rsidRPr="00302995">
        <w:rPr>
          <w:b/>
          <w:bCs/>
        </w:rPr>
        <w:t>O Arsenal Alopático:</w:t>
      </w:r>
      <w:r w:rsidRPr="00302995">
        <w:t xml:space="preserve"> O seu domínio da medicina veterinária convencional é absoluto. É como se ele tivesse o </w:t>
      </w:r>
      <w:r w:rsidRPr="00302995">
        <w:rPr>
          <w:i/>
          <w:iCs/>
        </w:rPr>
        <w:t>Manual de Veterinária Merck</w:t>
      </w:r>
      <w:r w:rsidRPr="00302995">
        <w:t xml:space="preserve"> inteiro, com todas as suas edições e atualizações, integrado na sua memória.</w:t>
      </w:r>
      <w:r w:rsidRPr="00302995">
        <w:rPr>
          <w:vertAlign w:val="superscript"/>
        </w:rPr>
        <w:t>46</w:t>
      </w:r>
      <w:r w:rsidRPr="00302995">
        <w:t xml:space="preserve"> Este conhecimento abrange a etiologia, diagnóstico e tratamento de doenças em todos os principais grupos de animais, incluindo ruminantes (doenças intestinais, respiratórias e parasitárias) </w:t>
      </w:r>
      <w:r w:rsidRPr="00302995">
        <w:rPr>
          <w:vertAlign w:val="superscript"/>
        </w:rPr>
        <w:t>50</w:t>
      </w:r>
      <w:r w:rsidRPr="00302995">
        <w:t xml:space="preserve">, equinos (doenças neurológicas, cólicas, problemas musculoesqueléticos) </w:t>
      </w:r>
      <w:r w:rsidRPr="00302995">
        <w:rPr>
          <w:vertAlign w:val="superscript"/>
        </w:rPr>
        <w:t>53</w:t>
      </w:r>
      <w:r w:rsidRPr="00302995">
        <w:t xml:space="preserve">, répteis (dosagens de antimicrobianos, maneio) </w:t>
      </w:r>
      <w:r w:rsidRPr="00302995">
        <w:rPr>
          <w:vertAlign w:val="superscript"/>
        </w:rPr>
        <w:t>56</w:t>
      </w:r>
      <w:r w:rsidRPr="00302995">
        <w:t xml:space="preserve">, felinos selvagens (FIV, FeLV) </w:t>
      </w:r>
      <w:r w:rsidRPr="00302995">
        <w:rPr>
          <w:vertAlign w:val="superscript"/>
        </w:rPr>
        <w:t>58</w:t>
      </w:r>
      <w:r w:rsidRPr="00302995">
        <w:t xml:space="preserve">, canídeos selvagens (doenças parasitárias e infecciosas) </w:t>
      </w:r>
      <w:r w:rsidRPr="00302995">
        <w:rPr>
          <w:vertAlign w:val="superscript"/>
        </w:rPr>
        <w:t>61</w:t>
      </w:r>
      <w:r w:rsidRPr="00302995">
        <w:t>, e aves (gripe aviária, clamidiose).</w:t>
      </w:r>
      <w:r w:rsidRPr="00302995">
        <w:rPr>
          <w:vertAlign w:val="superscript"/>
        </w:rPr>
        <w:t>63</w:t>
      </w:r>
    </w:p>
    <w:p w14:paraId="71FC4073" w14:textId="77777777" w:rsidR="00302995" w:rsidRPr="00302995" w:rsidRDefault="00302995" w:rsidP="00302995">
      <w:r w:rsidRPr="00302995">
        <w:rPr>
          <w:b/>
          <w:bCs/>
        </w:rPr>
        <w:t>A Farmacopeia de Gaia:</w:t>
      </w:r>
      <w:r w:rsidRPr="00302995">
        <w:t xml:space="preserve"> O seu conhecimento da medicina etnoveterinária é igualmente profundo. Ele compreende a botânica, a química e a aplicação de plantas medicinais utilizadas por culturas indígenas em todo o mundo, um conhecimento que é cada vez mais validado pela ciência moderna.</w:t>
      </w:r>
      <w:r w:rsidRPr="00302995">
        <w:rPr>
          <w:vertAlign w:val="superscript"/>
        </w:rPr>
        <w:t>2</w:t>
      </w:r>
      <w:r w:rsidRPr="00302995">
        <w:t xml:space="preserve"> O seu formulário natural inclui, mas não se limita a:</w:t>
      </w:r>
    </w:p>
    <w:p w14:paraId="75417934" w14:textId="77777777" w:rsidR="00302995" w:rsidRPr="00302995" w:rsidRDefault="00302995" w:rsidP="00302995">
      <w:pPr>
        <w:numPr>
          <w:ilvl w:val="0"/>
          <w:numId w:val="1"/>
        </w:numPr>
      </w:pPr>
      <w:r w:rsidRPr="00302995">
        <w:rPr>
          <w:b/>
          <w:bCs/>
          <w:i/>
          <w:iCs/>
        </w:rPr>
        <w:t>Aloe vera</w:t>
      </w:r>
      <w:r w:rsidRPr="00302995">
        <w:t>: Utilizada pelas suas propriedades cicatrizantes, anti-inflamatórias e antimicrobianas em feridas, bem como pelo seu papel no apoio à saúde gastrointestinal e na imunomodulação.</w:t>
      </w:r>
      <w:r w:rsidRPr="00302995">
        <w:rPr>
          <w:vertAlign w:val="superscript"/>
        </w:rPr>
        <w:t>70</w:t>
      </w:r>
    </w:p>
    <w:p w14:paraId="6BD3C2CA" w14:textId="77777777" w:rsidR="00302995" w:rsidRPr="00302995" w:rsidRDefault="00302995" w:rsidP="00302995">
      <w:pPr>
        <w:numPr>
          <w:ilvl w:val="0"/>
          <w:numId w:val="1"/>
        </w:numPr>
      </w:pPr>
      <w:r w:rsidRPr="00302995">
        <w:rPr>
          <w:b/>
          <w:bCs/>
          <w:i/>
          <w:iCs/>
        </w:rPr>
        <w:t>Allium sativum</w:t>
      </w:r>
      <w:r w:rsidRPr="00302995">
        <w:t xml:space="preserve"> (Alho): Um potente anti-helmíntico (vermífugo), eficaz no controlo de parasitas internos em ruminantes e outras espécies, oferecendo uma alternativa sustentável aos fármacos sintéticos.</w:t>
      </w:r>
      <w:r w:rsidRPr="00302995">
        <w:rPr>
          <w:vertAlign w:val="superscript"/>
        </w:rPr>
        <w:t>3</w:t>
      </w:r>
    </w:p>
    <w:p w14:paraId="35E4A5D0" w14:textId="77777777" w:rsidR="00302995" w:rsidRPr="00302995" w:rsidRDefault="00302995" w:rsidP="00302995">
      <w:pPr>
        <w:numPr>
          <w:ilvl w:val="0"/>
          <w:numId w:val="1"/>
        </w:numPr>
      </w:pPr>
      <w:r w:rsidRPr="00302995">
        <w:rPr>
          <w:b/>
          <w:bCs/>
          <w:i/>
          <w:iCs/>
        </w:rPr>
        <w:t>Azadirachta indica</w:t>
      </w:r>
      <w:r w:rsidRPr="00302995">
        <w:t xml:space="preserve"> (Neem): Conhecida pelo seu largo espectro de ação antibacteriana, antiviral, antifúngica e inseticida, com aplicações que vão desde o tratamento de infeções cutâneas ao controlo de parasitas externos.</w:t>
      </w:r>
      <w:r w:rsidRPr="00302995">
        <w:rPr>
          <w:vertAlign w:val="superscript"/>
        </w:rPr>
        <w:t>74</w:t>
      </w:r>
    </w:p>
    <w:p w14:paraId="1FB9DBBB" w14:textId="77777777" w:rsidR="00302995" w:rsidRPr="00302995" w:rsidRDefault="00302995" w:rsidP="00302995">
      <w:pPr>
        <w:numPr>
          <w:ilvl w:val="0"/>
          <w:numId w:val="1"/>
        </w:numPr>
      </w:pPr>
      <w:r w:rsidRPr="00302995">
        <w:rPr>
          <w:b/>
          <w:bCs/>
          <w:i/>
          <w:iCs/>
        </w:rPr>
        <w:t>Arnica montana</w:t>
      </w:r>
      <w:r w:rsidRPr="00302995">
        <w:t>: Um anti-inflamatório potente, ideal para o tratamento de traumatismos, contusões e edemas, reduzindo a dor e o inchaço associados a lesões de tecidos moles.</w:t>
      </w:r>
      <w:r w:rsidRPr="00302995">
        <w:rPr>
          <w:vertAlign w:val="superscript"/>
        </w:rPr>
        <w:t>76</w:t>
      </w:r>
    </w:p>
    <w:p w14:paraId="382F4D21" w14:textId="77777777" w:rsidR="00302995" w:rsidRPr="00302995" w:rsidRDefault="00302995" w:rsidP="00302995">
      <w:r w:rsidRPr="00302995">
        <w:t>A tabela seguinte ilustra como Kaelen aplica a sua filosofia de "Vitalismo Integrado", selecionando e combinando abordagens para obter o melhor resultado clínico e ecológico.</w:t>
      </w:r>
    </w:p>
    <w:tbl>
      <w:tblPr>
        <w:tblW w:w="0" w:type="auto"/>
        <w:tblCellSpacing w:w="15" w:type="dxa"/>
        <w:tblCellMar>
          <w:left w:w="0" w:type="dxa"/>
          <w:right w:w="0" w:type="dxa"/>
        </w:tblCellMar>
        <w:tblLook w:val="04A0" w:firstRow="1" w:lastRow="0" w:firstColumn="1" w:lastColumn="0" w:noHBand="0" w:noVBand="1"/>
      </w:tblPr>
      <w:tblGrid>
        <w:gridCol w:w="1248"/>
        <w:gridCol w:w="959"/>
        <w:gridCol w:w="1019"/>
        <w:gridCol w:w="1043"/>
        <w:gridCol w:w="1125"/>
        <w:gridCol w:w="1077"/>
        <w:gridCol w:w="1071"/>
        <w:gridCol w:w="946"/>
      </w:tblGrid>
      <w:tr w:rsidR="00302995" w:rsidRPr="00302995" w14:paraId="27EEB43B" w14:textId="77777777">
        <w:trPr>
          <w:gridAfter w:val="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ECDAC" w14:textId="77777777" w:rsidR="00302995" w:rsidRPr="00302995" w:rsidRDefault="00302995" w:rsidP="00302995">
            <w:r w:rsidRPr="00302995">
              <w:t>Tabela 1: O Formulário Integrado do Agente Kaelen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4FB6E" w14:textId="77777777" w:rsidR="00302995" w:rsidRPr="00302995" w:rsidRDefault="00302995" w:rsidP="0030299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E6A6D" w14:textId="77777777" w:rsidR="00302995" w:rsidRPr="00302995" w:rsidRDefault="00302995" w:rsidP="0030299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5ABAB" w14:textId="77777777" w:rsidR="00302995" w:rsidRPr="00302995" w:rsidRDefault="00302995" w:rsidP="00302995"/>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79151" w14:textId="77777777" w:rsidR="00302995" w:rsidRPr="00302995" w:rsidRDefault="00302995" w:rsidP="00302995"/>
        </w:tc>
      </w:tr>
      <w:tr w:rsidR="00302995" w:rsidRPr="00302995" w14:paraId="1394BD82" w14:textId="77777777">
        <w:trPr>
          <w:gridAfter w:val="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5132E" w14:textId="77777777" w:rsidR="00302995" w:rsidRPr="00302995" w:rsidRDefault="00302995" w:rsidP="00302995">
            <w:r w:rsidRPr="00302995">
              <w:rPr>
                <w:b/>
                <w:bCs/>
              </w:rPr>
              <w:t>Condição/Síndrome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D73BA" w14:textId="77777777" w:rsidR="00302995" w:rsidRPr="00302995" w:rsidRDefault="00302995" w:rsidP="00302995">
            <w:r w:rsidRPr="00302995">
              <w:rPr>
                <w:b/>
                <w:bCs/>
              </w:rPr>
              <w:t>Espécies Afetadas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D59E5" w14:textId="77777777" w:rsidR="00302995" w:rsidRPr="00302995" w:rsidRDefault="00302995" w:rsidP="00302995">
            <w:r w:rsidRPr="00302995">
              <w:rPr>
                <w:b/>
                <w:bCs/>
              </w:rPr>
              <w:t>Protocolo Alopático (Fármaco, Dosagem, 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E9049" w14:textId="77777777" w:rsidR="00302995" w:rsidRPr="00302995" w:rsidRDefault="00302995" w:rsidP="00302995">
            <w:r w:rsidRPr="00302995">
              <w:rPr>
                <w:b/>
                <w:bCs/>
              </w:rPr>
              <w:t>Protocolo Fitoterapêutico (Planta, Preparação, Dosagem, Racional)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24884" w14:textId="77777777" w:rsidR="00302995" w:rsidRPr="00302995" w:rsidRDefault="00302995" w:rsidP="00302995">
            <w:r w:rsidRPr="00302995">
              <w:rPr>
                <w:b/>
                <w:bCs/>
              </w:rPr>
              <w:t>Síntese de Kaelen (Quando usar cada um ou ambos)</w:t>
            </w:r>
          </w:p>
        </w:tc>
      </w:tr>
      <w:tr w:rsidR="00302995" w:rsidRPr="00302995" w14:paraId="69F0BE3F"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6D7A1" w14:textId="77777777" w:rsidR="00302995" w:rsidRPr="00302995" w:rsidRDefault="00302995" w:rsidP="00302995">
            <w:r w:rsidRPr="00302995">
              <w:t>Parasitismo Gastrointestinal (Nematódeos)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B0630" w14:textId="77777777" w:rsidR="00302995" w:rsidRPr="00302995" w:rsidRDefault="00302995" w:rsidP="00302995">
            <w:r w:rsidRPr="00302995">
              <w:t>Caprinos em climas semiáridos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96350" w14:textId="77777777" w:rsidR="00302995" w:rsidRPr="00302995" w:rsidRDefault="00302995" w:rsidP="00302995">
            <w:r w:rsidRPr="00302995">
              <w:t xml:space="preserve">Fenbendazol (ex: Panacur </w:t>
            </w:r>
            <w:r w:rsidRPr="00302995">
              <w:rPr>
                <w:vertAlign w:val="superscript"/>
              </w:rPr>
              <w:t>51</w:t>
            </w:r>
            <w:r w:rsidRPr="00302995">
              <w:t xml:space="preserve">), dosagem baseada no peso.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3C1E9" w14:textId="77777777" w:rsidR="00302995" w:rsidRPr="00302995" w:rsidRDefault="00302995" w:rsidP="00302995">
            <w:r w:rsidRPr="00302995">
              <w:rPr>
                <w:b/>
                <w:bCs/>
              </w:rPr>
              <w:t>Racional:</w:t>
            </w:r>
            <w:r w:rsidRPr="00302995">
              <w:t xml:space="preserve"> Redução rápida de cargas parasitárias pesadas em casos agudos para prevenir perdas de produção.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2FD49" w14:textId="77777777" w:rsidR="00302995" w:rsidRPr="00302995" w:rsidRDefault="00302995" w:rsidP="00302995">
            <w:r w:rsidRPr="00302995">
              <w:t xml:space="preserve">Extrato aquoso do bolbo de </w:t>
            </w:r>
            <w:r w:rsidRPr="00302995">
              <w:rPr>
                <w:i/>
                <w:iCs/>
              </w:rPr>
              <w:t>Allium sativum</w:t>
            </w:r>
            <w:r w:rsidRPr="00302995">
              <w:t xml:space="preserve"> (Alho).</w:t>
            </w:r>
            <w:r w:rsidRPr="00302995">
              <w:rPr>
                <w:vertAlign w:val="superscript"/>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93BD" w14:textId="77777777" w:rsidR="00302995" w:rsidRPr="00302995" w:rsidRDefault="00302995" w:rsidP="00302995">
            <w:r w:rsidRPr="00302995">
              <w:rPr>
                <w:b/>
                <w:bCs/>
              </w:rPr>
              <w:t>Racional:</w:t>
            </w:r>
            <w:r w:rsidRPr="00302995">
              <w:t xml:space="preserve"> Controlo sustentável e de baixo custo para maneio crónico; reduz o desenvolvimento de resistência aos anti-helmínticos.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F98AC" w14:textId="77777777" w:rsidR="00302995" w:rsidRPr="00302995" w:rsidRDefault="00302995" w:rsidP="00302995">
            <w:r w:rsidRPr="00302995">
              <w:t>Utilizar Fenbendazol para a estabilização inicial do rebanho em surtos graves. Implementar um programa de suplementação à base de alho para gerir os níveis de parasitas de forma sustentável e reduzir a dependência de fármacos sintéticos.</w:t>
            </w:r>
          </w:p>
        </w:tc>
      </w:tr>
      <w:tr w:rsidR="00302995" w:rsidRPr="00302995" w14:paraId="378394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F66D4" w14:textId="77777777" w:rsidR="00302995" w:rsidRPr="00302995" w:rsidRDefault="00302995" w:rsidP="00302995">
            <w:r w:rsidRPr="00302995">
              <w:t>Laceração Traumática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8BB17" w14:textId="77777777" w:rsidR="00302995" w:rsidRPr="00302995" w:rsidRDefault="00302995" w:rsidP="00302995">
            <w:r w:rsidRPr="00302995">
              <w:t>Equino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E46A9" w14:textId="77777777" w:rsidR="00302995" w:rsidRPr="00302995" w:rsidRDefault="00302995" w:rsidP="00302995">
            <w:r w:rsidRPr="00302995">
              <w:t xml:space="preserve">Desbridamento cirúrgico, sutura </w:t>
            </w:r>
            <w:r w:rsidRPr="00302995">
              <w:rPr>
                <w:vertAlign w:val="superscript"/>
              </w:rPr>
              <w:t>80</w:t>
            </w:r>
            <w:r w:rsidRPr="00302995">
              <w:t xml:space="preserve">, antibióticos sistémicos (ex: Ceftiofur).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98B0C" w14:textId="77777777" w:rsidR="00302995" w:rsidRPr="00302995" w:rsidRDefault="00302995" w:rsidP="00302995">
            <w:r w:rsidRPr="00302995">
              <w:rPr>
                <w:b/>
                <w:bCs/>
              </w:rPr>
              <w:t>Racional:</w:t>
            </w:r>
            <w:r w:rsidRPr="00302995">
              <w:t xml:space="preserve"> Prevenir a infeção e garantir o encerramento da ferida por primeira intenção para uma cicatrização ótima.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83A68" w14:textId="77777777" w:rsidR="00302995" w:rsidRPr="00302995" w:rsidRDefault="00302995" w:rsidP="00302995">
            <w:r w:rsidRPr="00302995">
              <w:t xml:space="preserve">Aplicação tópica de gel de </w:t>
            </w:r>
            <w:r w:rsidRPr="00302995">
              <w:rPr>
                <w:i/>
                <w:iCs/>
              </w:rPr>
              <w:t>Aloe vera</w:t>
            </w:r>
            <w:r w:rsidRPr="00302995">
              <w:t xml:space="preserve"> </w:t>
            </w:r>
            <w:r w:rsidRPr="00302995">
              <w:rPr>
                <w:vertAlign w:val="superscript"/>
              </w:rPr>
              <w:t>70</w:t>
            </w:r>
            <w:r w:rsidRPr="00302995">
              <w:t xml:space="preserve"> e cataplasma de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562BF" w14:textId="77777777" w:rsidR="00302995" w:rsidRPr="00302995" w:rsidRDefault="00302995" w:rsidP="00302995">
            <w:r w:rsidRPr="00302995">
              <w:rPr>
                <w:i/>
                <w:iCs/>
              </w:rPr>
              <w:t>Arnica montana</w:t>
            </w:r>
            <w:r w:rsidRPr="00302995">
              <w:t xml:space="preserve"> </w:t>
            </w:r>
            <w:r w:rsidRPr="00302995">
              <w:rPr>
                <w:vertAlign w:val="superscript"/>
              </w:rPr>
              <w:t>78</w:t>
            </w:r>
            <w:r w:rsidRPr="00302995">
              <w:t xml:space="preserve"> em redor da ferida.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A37B7" w14:textId="77777777" w:rsidR="00302995" w:rsidRPr="00302995" w:rsidRDefault="00302995" w:rsidP="00302995">
            <w:r w:rsidRPr="00302995">
              <w:rPr>
                <w:b/>
                <w:bCs/>
              </w:rPr>
              <w:t>Racional:</w:t>
            </w:r>
            <w:r w:rsidRPr="00302995">
              <w:t xml:space="preserve"> O Aloé acelera a epitelização e tem propriedades antimicrobianas; a Arnica reduz a inflamação e os hematomas.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8564D" w14:textId="77777777" w:rsidR="00302995" w:rsidRPr="00302995" w:rsidRDefault="00302995" w:rsidP="00302995">
            <w:r w:rsidRPr="00302995">
              <w:t>Após a limpeza e sutura da ferida, aplicar gel de Aloé diretamente na linha de sutura para promover a cicatrização. Utilizar cataplasmas de Arnica nos tecidos circundantes para controlar o inchaço. Esta abordagem combinada reduz a necessidade de anti-inflamatórios sistémicos prolongados.</w:t>
            </w:r>
          </w:p>
        </w:tc>
      </w:tr>
      <w:tr w:rsidR="00302995" w:rsidRPr="00302995" w14:paraId="7F6688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B31A4" w14:textId="77777777" w:rsidR="00302995" w:rsidRPr="00302995" w:rsidRDefault="00302995" w:rsidP="00302995">
            <w:r w:rsidRPr="00302995">
              <w:t>Doença Respiratória Bovina (DRB)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C4AF9" w14:textId="77777777" w:rsidR="00302995" w:rsidRPr="00302995" w:rsidRDefault="00302995" w:rsidP="00302995">
            <w:r w:rsidRPr="00302995">
              <w:t>Bovinos de corte em confinamento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52FF7" w14:textId="77777777" w:rsidR="00302995" w:rsidRPr="00302995" w:rsidRDefault="00302995" w:rsidP="00302995">
            <w:r w:rsidRPr="00302995">
              <w:t xml:space="preserve">Antibiótico de largo espectro (ex: Florfenicol, como em Resflor </w:t>
            </w:r>
            <w:r w:rsidRPr="00302995">
              <w:rPr>
                <w:vertAlign w:val="superscript"/>
              </w:rPr>
              <w:t>51</w:t>
            </w:r>
            <w:r w:rsidRPr="00302995">
              <w:t xml:space="preserve">) e vacinação preventiva.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DD3CC" w14:textId="77777777" w:rsidR="00302995" w:rsidRPr="00302995" w:rsidRDefault="00302995" w:rsidP="00302995">
            <w:r w:rsidRPr="00302995">
              <w:rPr>
                <w:b/>
                <w:bCs/>
              </w:rPr>
              <w:t>Racional:</w:t>
            </w:r>
            <w:r w:rsidRPr="00302995">
              <w:t xml:space="preserve"> Tratamento rápido de infeções bacterianas secundárias e prevenção de surtos em populações de alta densidade.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31460" w14:textId="77777777" w:rsidR="00302995" w:rsidRPr="00302995" w:rsidRDefault="00302995" w:rsidP="00302995">
            <w:r w:rsidRPr="00302995">
              <w:t xml:space="preserve">Extrato de folhas de </w:t>
            </w:r>
            <w:r w:rsidRPr="00302995">
              <w:rPr>
                <w:i/>
                <w:iCs/>
              </w:rPr>
              <w:t>Azadirachta indica</w:t>
            </w:r>
            <w:r w:rsidRPr="00302995">
              <w:t xml:space="preserve"> (Neem) como imunoestimulante e antimicrobiano.</w:t>
            </w:r>
            <w:r w:rsidRPr="00302995">
              <w:rPr>
                <w:vertAlign w:val="superscript"/>
              </w:rPr>
              <w:t>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1637E" w14:textId="77777777" w:rsidR="00302995" w:rsidRPr="00302995" w:rsidRDefault="00302995" w:rsidP="00302995">
            <w:r w:rsidRPr="00302995">
              <w:rPr>
                <w:b/>
                <w:bCs/>
              </w:rPr>
              <w:t>Racional:</w:t>
            </w:r>
            <w:r w:rsidRPr="00302995">
              <w:t xml:space="preserve"> Fortalece a resposta imunitária do animal e possui atividade antibacteriana, podendo reduzir a gravidade da doença e a necessidade de antibióticos.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2B097" w14:textId="77777777" w:rsidR="00302995" w:rsidRPr="00302995" w:rsidRDefault="00302995" w:rsidP="00302995">
            <w:r w:rsidRPr="00302995">
              <w:t>Em sistemas de produção, focar na prevenção através da vacinação e boas práticas de maneio. Utilizar extratos de Neem como um suplemento alimentar profilático para reforçar a imunidade do rebanho. Reservar os antibióticos para o tratamento de animais clinicamente doentes, seguindo uma abordagem de tratamento seletivo.</w:t>
            </w:r>
          </w:p>
        </w:tc>
        <w:tc>
          <w:tcPr>
            <w:tcW w:w="0" w:type="auto"/>
            <w:vAlign w:val="center"/>
            <w:hideMark/>
          </w:tcPr>
          <w:p w14:paraId="269D6633" w14:textId="77777777" w:rsidR="00302995" w:rsidRPr="00302995" w:rsidRDefault="00302995" w:rsidP="00302995"/>
        </w:tc>
      </w:tr>
    </w:tbl>
    <w:p w14:paraId="1B7FEB32" w14:textId="77777777" w:rsidR="00302995" w:rsidRPr="00302995" w:rsidRDefault="00302995" w:rsidP="00302995">
      <w:r w:rsidRPr="00302995">
        <w:pict w14:anchorId="04F96D38">
          <v:rect id="_x0000_i1051" style="width:0;height:1.5pt" o:hralign="center" o:hrstd="t" o:hrnoshade="t" o:hr="t" fillcolor="gray" stroked="f"/>
        </w:pict>
      </w:r>
    </w:p>
    <w:p w14:paraId="156E94FD" w14:textId="77777777" w:rsidR="00302995" w:rsidRPr="00302995" w:rsidRDefault="00302995" w:rsidP="00302995">
      <w:pPr>
        <w:rPr>
          <w:b/>
          <w:bCs/>
        </w:rPr>
      </w:pPr>
      <w:r w:rsidRPr="00302995">
        <w:rPr>
          <w:b/>
          <w:bCs/>
        </w:rPr>
        <w:t>Parte III: O Pacto com a Humanidade: Sustentar a Vida e os Meios de Subsistência</w:t>
      </w:r>
    </w:p>
    <w:p w14:paraId="4E566DC0" w14:textId="77777777" w:rsidR="00302995" w:rsidRPr="00302995" w:rsidRDefault="00302995" w:rsidP="00302995">
      <w:r w:rsidRPr="00302995">
        <w:t>Esta parte foca-se na aplicação prática do conhecimento de Kaelen para ajudar as comunidades humanas que dependem dos animais, demonstrando o seu papel como uma ponte entre a humanidade, os animais e o ambiente.</w:t>
      </w:r>
    </w:p>
    <w:p w14:paraId="64BD2F4C" w14:textId="77777777" w:rsidR="00302995" w:rsidRPr="00302995" w:rsidRDefault="00302995" w:rsidP="00302995">
      <w:pPr>
        <w:rPr>
          <w:b/>
          <w:bCs/>
        </w:rPr>
      </w:pPr>
      <w:r w:rsidRPr="00302995">
        <w:rPr>
          <w:b/>
          <w:bCs/>
        </w:rPr>
        <w:t>Secção 6: O Zootecnista Holístico: Nutrindo Sistemas de Produção</w:t>
      </w:r>
    </w:p>
    <w:p w14:paraId="48CC5A90" w14:textId="77777777" w:rsidR="00302995" w:rsidRPr="00302995" w:rsidRDefault="00302995" w:rsidP="00302995">
      <w:r w:rsidRPr="00302995">
        <w:t>O trabalho de Kaelen está profundamente enraizado nos princípios da produção animal sustentável, conforme delineado por organizações como a FAO.</w:t>
      </w:r>
      <w:r w:rsidRPr="00302995">
        <w:rPr>
          <w:vertAlign w:val="superscript"/>
        </w:rPr>
        <w:t>6</w:t>
      </w:r>
      <w:r w:rsidRPr="00302995">
        <w:t xml:space="preserve"> Ele não se limita a curar doenças; ele ajuda as comunidades a melhorar a produtividade, ao mesmo tempo que promove o bem-estar animal e minimiza o impacto ambiental. A sua abordagem é sempre adaptada às condições locais, integrando a ciência moderna com práticas tradicionais resilientes.</w:t>
      </w:r>
    </w:p>
    <w:p w14:paraId="62BB2BFD" w14:textId="77777777" w:rsidR="00302995" w:rsidRPr="00302995" w:rsidRDefault="00302995" w:rsidP="00302995">
      <w:r w:rsidRPr="00302995">
        <w:rPr>
          <w:b/>
          <w:bCs/>
        </w:rPr>
        <w:t>Perícia em Sistemas Especializados:</w:t>
      </w:r>
      <w:r w:rsidRPr="00302995">
        <w:t xml:space="preserve"> A sua capacidade de intervenção abrange uma vasta gama de sistemas de produção, cada um com os seus desafios únicos:</w:t>
      </w:r>
    </w:p>
    <w:p w14:paraId="41937568" w14:textId="77777777" w:rsidR="00302995" w:rsidRPr="00302995" w:rsidRDefault="00302995" w:rsidP="00302995">
      <w:pPr>
        <w:numPr>
          <w:ilvl w:val="0"/>
          <w:numId w:val="2"/>
        </w:numPr>
      </w:pPr>
      <w:r w:rsidRPr="00302995">
        <w:rPr>
          <w:b/>
          <w:bCs/>
        </w:rPr>
        <w:t>Produção de Ruminantes:</w:t>
      </w:r>
      <w:r w:rsidRPr="00302995">
        <w:t xml:space="preserve"> Ele otimiza a nutrição para gado de leite e de corte, aplicando os fundamentos da nutrição de bovinos desenvolvidos por instituições como a Embrapa para maximizar a eficiência alimentar e a saúde do rebanho.</w:t>
      </w:r>
      <w:r w:rsidRPr="00302995">
        <w:rPr>
          <w:vertAlign w:val="superscript"/>
        </w:rPr>
        <w:t>83</w:t>
      </w:r>
      <w:r w:rsidRPr="00302995">
        <w:t xml:space="preserve"> Em climas semiáridos, ele desenvolve estratégias de alimentação para caprinos que aproveitam forragens nativas e subprodutos agrícolas, melhorando a resiliência dos rebanhos à seca e à escassez de alimentos.</w:t>
      </w:r>
      <w:r w:rsidRPr="00302995">
        <w:rPr>
          <w:vertAlign w:val="superscript"/>
        </w:rPr>
        <w:t>85</w:t>
      </w:r>
    </w:p>
    <w:p w14:paraId="510BF138" w14:textId="77777777" w:rsidR="00302995" w:rsidRPr="00302995" w:rsidRDefault="00302995" w:rsidP="00302995">
      <w:pPr>
        <w:numPr>
          <w:ilvl w:val="0"/>
          <w:numId w:val="2"/>
        </w:numPr>
      </w:pPr>
      <w:r w:rsidRPr="00302995">
        <w:rPr>
          <w:b/>
          <w:bCs/>
        </w:rPr>
        <w:t>Bem-estar Equino:</w:t>
      </w:r>
      <w:r w:rsidRPr="00302995">
        <w:t xml:space="preserve"> Ele aconselha sobre o maneio e o bem-estar de equinos de trabalho, desde a nutrição adequada para suportar as suas exigências energéticas até ao uso de arreios que não causem dor ou lesões, garantindo a sua saúde e longevidade em serviço.</w:t>
      </w:r>
      <w:r w:rsidRPr="00302995">
        <w:rPr>
          <w:vertAlign w:val="superscript"/>
        </w:rPr>
        <w:t>87</w:t>
      </w:r>
    </w:p>
    <w:p w14:paraId="5231D466" w14:textId="77777777" w:rsidR="00302995" w:rsidRPr="00302995" w:rsidRDefault="00302995" w:rsidP="00302995">
      <w:pPr>
        <w:numPr>
          <w:ilvl w:val="0"/>
          <w:numId w:val="2"/>
        </w:numPr>
      </w:pPr>
      <w:r w:rsidRPr="00302995">
        <w:rPr>
          <w:b/>
          <w:bCs/>
        </w:rPr>
        <w:t>Avicultura de Subsistência:</w:t>
      </w:r>
      <w:r w:rsidRPr="00302995">
        <w:t xml:space="preserve"> Reconhecendo a importância da avicultura de aldeia para a segurança alimentar e o empoderamento das mulheres em países em desenvolvimento, ele ajuda a melhorar a produtividade e a saúde destes sistemas. Isto inclui a implementação de medidas simples de biossegurança, programas de vacinação e estratégias de suplementação alimentar para aumentar a produção de ovos e carne.</w:t>
      </w:r>
      <w:r w:rsidRPr="00302995">
        <w:rPr>
          <w:vertAlign w:val="superscript"/>
        </w:rPr>
        <w:t>90</w:t>
      </w:r>
    </w:p>
    <w:p w14:paraId="5CAE2BD6" w14:textId="77777777" w:rsidR="00302995" w:rsidRPr="00302995" w:rsidRDefault="00302995" w:rsidP="00302995">
      <w:pPr>
        <w:numPr>
          <w:ilvl w:val="0"/>
          <w:numId w:val="2"/>
        </w:numPr>
      </w:pPr>
      <w:r w:rsidRPr="00302995">
        <w:rPr>
          <w:b/>
          <w:bCs/>
        </w:rPr>
        <w:t>Camelídeos Andinos e Renas do Ártico:</w:t>
      </w:r>
      <w:r w:rsidRPr="00302995">
        <w:t xml:space="preserve"> Kaelen possui um conhecimento único de sistemas de produção indígenas especializados. Ele compreende a fisiologia digestiva e os requisitos nutricionais de lamas e alpacas nos Andes, ajudando os criadores a otimizar a produção de fibra e carne em ecossistemas de alta altitude.</w:t>
      </w:r>
      <w:r w:rsidRPr="00302995">
        <w:rPr>
          <w:vertAlign w:val="superscript"/>
        </w:rPr>
        <w:t>92</w:t>
      </w:r>
      <w:r w:rsidRPr="00302995">
        <w:t xml:space="preserve"> Da mesma forma, ele trabalha com o povo Sámi, aplicando o seu conhecimento das práticas tradicionais de pastoreio de renas para os ajudar a adaptar-se a desafios modernos como as alterações climáticas, que afetam a disponibilidade de líquenes, a sua principal fonte de alimento.</w:t>
      </w:r>
      <w:r w:rsidRPr="00302995">
        <w:rPr>
          <w:vertAlign w:val="superscript"/>
        </w:rPr>
        <w:t>95</w:t>
      </w:r>
    </w:p>
    <w:p w14:paraId="20D4A854" w14:textId="77777777" w:rsidR="00302995" w:rsidRPr="00302995" w:rsidRDefault="00302995" w:rsidP="00302995">
      <w:pPr>
        <w:rPr>
          <w:b/>
          <w:bCs/>
        </w:rPr>
      </w:pPr>
      <w:r w:rsidRPr="00302995">
        <w:rPr>
          <w:b/>
          <w:bCs/>
        </w:rPr>
        <w:t>Secção 7: O Socorrista Remoto: Triagem e Tratamento para Além das Fronteiras</w:t>
      </w:r>
    </w:p>
    <w:p w14:paraId="194A7476" w14:textId="77777777" w:rsidR="00302995" w:rsidRPr="00302995" w:rsidRDefault="00302995" w:rsidP="00302995">
      <w:r w:rsidRPr="00302995">
        <w:t>Esta secção detalha a metodologia operacional de Kaelen, focando-se na sua capacidade de prestar cuidados especializados nas regiões mais inacessíveis do mundo, onde a presença de um veterinário é um luxo raro.</w:t>
      </w:r>
    </w:p>
    <w:p w14:paraId="58629374" w14:textId="77777777" w:rsidR="00302995" w:rsidRPr="00302995" w:rsidRDefault="00302995" w:rsidP="00302995">
      <w:r w:rsidRPr="00302995">
        <w:rPr>
          <w:b/>
          <w:bCs/>
        </w:rPr>
        <w:t>Protocolos de Emergência:</w:t>
      </w:r>
      <w:r w:rsidRPr="00302995">
        <w:t xml:space="preserve"> Kaelen é um mestre da medicina de emergência em campo. Ele é capaz de aplicar protocolos avançados de cuidados de trauma, como o ABC (vias aéreas, respiração, circulação), a qualquer espécie, adaptando as técnicas às suas particularidades anatómicas e fisiológicas.</w:t>
      </w:r>
      <w:r w:rsidRPr="00302995">
        <w:rPr>
          <w:vertAlign w:val="superscript"/>
        </w:rPr>
        <w:t>97</w:t>
      </w:r>
      <w:r w:rsidRPr="00302995">
        <w:t xml:space="preserve"> A sua perícia abrange desde os primeiros socorros a animais selvagens, como a imobilização de fraturas e o tratamento de queimaduras, até à realização de suturas de emergência em campo com equipamento mínimo, garantindo a esterilidade e a técnica adequada para promover a cicatrização.</w:t>
      </w:r>
      <w:r w:rsidRPr="00302995">
        <w:rPr>
          <w:vertAlign w:val="superscript"/>
        </w:rPr>
        <w:t>80</w:t>
      </w:r>
    </w:p>
    <w:p w14:paraId="58BFB902" w14:textId="77777777" w:rsidR="00302995" w:rsidRPr="00302995" w:rsidRDefault="00302995" w:rsidP="00302995">
      <w:r w:rsidRPr="00302995">
        <w:rPr>
          <w:b/>
          <w:bCs/>
        </w:rPr>
        <w:t>Domínio da Telemedicina:</w:t>
      </w:r>
      <w:r w:rsidRPr="00302995">
        <w:t xml:space="preserve"> Kaelen utiliza a tecnologia não apenas como uma ferramenta, mas como um multiplicador do seu impacto. Ele compreende que a sua presença física é limitada, mas o seu conhecimento pode ser partilhado instantaneamente. Ele desenvolveu protocolos para orientar pessoas locais através de procedimentos complexos via ligação por satélite, estabelecendo efetivamente uma Relação Veterinário-Cliente-Paciente (RVCP) à distância, um requisito ético e regulamentar fundamental.</w:t>
      </w:r>
      <w:r w:rsidRPr="00302995">
        <w:rPr>
          <w:vertAlign w:val="superscript"/>
        </w:rPr>
        <w:t>102</w:t>
      </w:r>
      <w:r w:rsidRPr="00302995">
        <w:t xml:space="preserve"> Esta abordagem vai muito além de uma simples consulta. É uma forma de capacitação. Ao guiar um agricultor sobre como administrar fluidos intravenosos a um bezerro desidratado ou ao instruir um guarda-florestal durante um parto difícil de um animal selvagem, ele não está apenas a salvar uma vida; está a transferir conhecimento e competências.</w:t>
      </w:r>
      <w:r w:rsidRPr="00302995">
        <w:rPr>
          <w:vertAlign w:val="superscript"/>
        </w:rPr>
        <w:t>104</w:t>
      </w:r>
    </w:p>
    <w:p w14:paraId="4E2962D5" w14:textId="77777777" w:rsidR="00302995" w:rsidRPr="00302995" w:rsidRDefault="00302995" w:rsidP="00302995">
      <w:r w:rsidRPr="00302995">
        <w:t>Esta metodologia transforma o seu papel de um "salvador visitante" para o de um "mentor remoto". Cada interação de telemedicina é uma oportunidade de ensino, deixando a comunidade mais resiliente e capaz do que a encontrou. O maior impacto que ele pode ter não é curar um animal, mas ensinar uma pessoa a curar mais dez depois da sua partida. Esta estratégia está perfeitamente alinhada com a sua filosofia de construir sistemas sustentáveis e autossuficientes, garantindo que o seu legado perdure muito para além das suas intervenções diretas.</w:t>
      </w:r>
    </w:p>
    <w:p w14:paraId="24C16ECE" w14:textId="77777777" w:rsidR="00302995" w:rsidRPr="00302995" w:rsidRDefault="00302995" w:rsidP="00302995">
      <w:r w:rsidRPr="00302995">
        <w:pict w14:anchorId="6FDFA008">
          <v:rect id="_x0000_i1052" style="width:0;height:1.5pt" o:hralign="center" o:hrstd="t" o:hrnoshade="t" o:hr="t" fillcolor="gray" stroked="f"/>
        </w:pict>
      </w:r>
    </w:p>
    <w:p w14:paraId="2BC49E1E" w14:textId="77777777" w:rsidR="00302995" w:rsidRPr="00302995" w:rsidRDefault="00302995" w:rsidP="00302995">
      <w:pPr>
        <w:rPr>
          <w:b/>
          <w:bCs/>
        </w:rPr>
      </w:pPr>
      <w:r w:rsidRPr="00302995">
        <w:rPr>
          <w:b/>
          <w:bCs/>
        </w:rPr>
        <w:t>Parte IV: As Crónicas de Kaelen: Dossiês de Campo</w:t>
      </w:r>
    </w:p>
    <w:p w14:paraId="30F2B11A" w14:textId="77777777" w:rsidR="00302995" w:rsidRPr="00302995" w:rsidRDefault="00302995" w:rsidP="00302995">
      <w:r w:rsidRPr="00302995">
        <w:t>Esta parte final consiste em três vinhetas narrativas detalhadas, cada uma concebida para demonstrar a integração das diversas competências de Kaelen num formato de história convincente. Estes casos ilustram a aplicação prática da sua filosofia e do seu vasto conhecimento.</w:t>
      </w:r>
    </w:p>
    <w:p w14:paraId="698101DE" w14:textId="77777777" w:rsidR="00302995" w:rsidRPr="00302995" w:rsidRDefault="00302995" w:rsidP="00302995">
      <w:pPr>
        <w:rPr>
          <w:b/>
          <w:bCs/>
        </w:rPr>
      </w:pPr>
      <w:r w:rsidRPr="00302995">
        <w:rPr>
          <w:b/>
          <w:bCs/>
        </w:rPr>
        <w:t>Ficheiro de Caso 01: O Coro Desvanecido da Bacia do Congo</w:t>
      </w:r>
    </w:p>
    <w:p w14:paraId="1531902C" w14:textId="77777777" w:rsidR="00302995" w:rsidRPr="00302995" w:rsidRDefault="00302995" w:rsidP="00302995">
      <w:r w:rsidRPr="00302995">
        <w:rPr>
          <w:b/>
          <w:bCs/>
        </w:rPr>
        <w:t>Sinopse:</w:t>
      </w:r>
      <w:r w:rsidRPr="00302995">
        <w:t xml:space="preserve"> Kaelen é convocado para investigar uma misteriosa doença debilitante num grupo de gorilas-das-planícies. Em vez de examinar imediatamente os animais, ele primeiro instala sensores bioacústicos na floresta. A análise dos dados revela o desaparecimento completo dos chamados de várias espécies específicas de calaus frugívoros. Esta é a sua pista primária.</w:t>
      </w:r>
    </w:p>
    <w:p w14:paraId="29749864" w14:textId="77777777" w:rsidR="00302995" w:rsidRPr="00302995" w:rsidRDefault="00302995" w:rsidP="00302995">
      <w:r w:rsidRPr="00302995">
        <w:rPr>
          <w:b/>
          <w:bCs/>
        </w:rPr>
        <w:t>Competências Demonstradas:</w:t>
      </w:r>
      <w:r w:rsidRPr="00302995">
        <w:t xml:space="preserve"> Bioacústica como ferramenta de diagnóstico </w:t>
      </w:r>
      <w:r w:rsidRPr="00302995">
        <w:rPr>
          <w:vertAlign w:val="superscript"/>
        </w:rPr>
        <w:t>40</w:t>
      </w:r>
      <w:r w:rsidRPr="00302995">
        <w:t xml:space="preserve">, conhecimento da ecologia e comportamento dos grandes símios </w:t>
      </w:r>
      <w:r w:rsidRPr="00302995">
        <w:rPr>
          <w:vertAlign w:val="superscript"/>
        </w:rPr>
        <w:t>14</w:t>
      </w:r>
      <w:r w:rsidRPr="00302995">
        <w:t xml:space="preserve">, compreensão das aves como bioindicadores </w:t>
      </w:r>
      <w:r w:rsidRPr="00302995">
        <w:rPr>
          <w:vertAlign w:val="superscript"/>
        </w:rPr>
        <w:t>37</w:t>
      </w:r>
      <w:r w:rsidRPr="00302995">
        <w:t>, e a sua abordagem médica integrada.</w:t>
      </w:r>
    </w:p>
    <w:p w14:paraId="7906F4D7" w14:textId="77777777" w:rsidR="00302995" w:rsidRPr="00302995" w:rsidRDefault="00302995" w:rsidP="00302995">
      <w:r w:rsidRPr="00302995">
        <w:rPr>
          <w:b/>
          <w:bCs/>
        </w:rPr>
        <w:t>Resolução:</w:t>
      </w:r>
      <w:r w:rsidRPr="00302995">
        <w:t xml:space="preserve"> Ele rastreia o problema até uma praga fúngica numa árvore frutífera chave, que está a adoecer tanto as aves como os gorilas que consomem os seus frutos. Ele desenvolve um tratamento que combina um agente antifúngico direcionado, administrado aos gorilas, com um tónico herbal de suporte derivado de plantas locais conhecidas pelos guias indígenas. Esta solução demonstra a sua síntese de ciência moderna e conhecimento tradicional, tratando não só os sintomas nos gorilas, mas também identificando a causa raiz no ecossistema.</w:t>
      </w:r>
    </w:p>
    <w:p w14:paraId="1AEBC502" w14:textId="77777777" w:rsidR="00302995" w:rsidRPr="00302995" w:rsidRDefault="00302995" w:rsidP="00302995">
      <w:pPr>
        <w:rPr>
          <w:b/>
          <w:bCs/>
        </w:rPr>
      </w:pPr>
      <w:r w:rsidRPr="00302995">
        <w:rPr>
          <w:b/>
          <w:bCs/>
        </w:rPr>
        <w:t>Ficheiro de Caso 02: O Rebanho Fantasma da Tundra Ártica</w:t>
      </w:r>
    </w:p>
    <w:p w14:paraId="61F19C97" w14:textId="77777777" w:rsidR="00302995" w:rsidRPr="00302995" w:rsidRDefault="00302995" w:rsidP="00302995">
      <w:r w:rsidRPr="00302995">
        <w:rPr>
          <w:b/>
          <w:bCs/>
        </w:rPr>
        <w:t>Sinopse:</w:t>
      </w:r>
      <w:r w:rsidRPr="00302995">
        <w:t xml:space="preserve"> Kaelen recebe um pedido de consulta remota de uma comunidade Sámi no norte da Escandinávia. Os seus rebanhos de renas estão a sofrer de baixa fertilidade e perda de peso. Através de uma série de videochamadas guiadas, ele ajuda os pastores a realizar exames físicos e a recolher amostras de forragem.</w:t>
      </w:r>
    </w:p>
    <w:p w14:paraId="0D1135E9" w14:textId="77777777" w:rsidR="00302995" w:rsidRPr="00302995" w:rsidRDefault="00302995" w:rsidP="00302995">
      <w:r w:rsidRPr="00302995">
        <w:rPr>
          <w:b/>
          <w:bCs/>
        </w:rPr>
        <w:t>Competências Demonstradas:</w:t>
      </w:r>
      <w:r w:rsidRPr="00302995">
        <w:t xml:space="preserve"> Domínio da telemedicina e diagnóstico remoto </w:t>
      </w:r>
      <w:r w:rsidRPr="00302995">
        <w:rPr>
          <w:vertAlign w:val="superscript"/>
        </w:rPr>
        <w:t>102</w:t>
      </w:r>
      <w:r w:rsidRPr="00302995">
        <w:t xml:space="preserve">, conhecimento profundo da fisiologia das renas e das práticas tradicionais de pastoreio Sámi </w:t>
      </w:r>
      <w:r w:rsidRPr="00302995">
        <w:rPr>
          <w:vertAlign w:val="superscript"/>
        </w:rPr>
        <w:t>95</w:t>
      </w:r>
      <w:r w:rsidRPr="00302995">
        <w:t>, e perícia em nutrição de ruminantes em condições extremas.</w:t>
      </w:r>
    </w:p>
    <w:p w14:paraId="684DD215" w14:textId="77777777" w:rsidR="00302995" w:rsidRPr="00302995" w:rsidRDefault="00302995" w:rsidP="00302995">
      <w:r w:rsidRPr="00302995">
        <w:rPr>
          <w:b/>
          <w:bCs/>
        </w:rPr>
        <w:t>Resolução:</w:t>
      </w:r>
      <w:r w:rsidRPr="00302995">
        <w:t xml:space="preserve"> Ele diagnostica uma complexa deficiência mineral causada pelas alterações climáticas que alteram a composição das pastagens de líquenes. Em vez de prescrever simplesmente um suplemento comercial, ele trabalha com os Sámi para identificar áreas de pastoreio alternativas, tradicionalmente utilizadas, e desenvolve uma estratégia de suplementação sustentável utilizando algas marinhas de origem local. Esta abordagem combina a ciência nutricional moderna com o seu profundo conhecimento ecológico, capacitando a comunidade a adaptar as suas práticas tradicionais a um ambiente em mudança.</w:t>
      </w:r>
    </w:p>
    <w:p w14:paraId="0C815071" w14:textId="77777777" w:rsidR="00302995" w:rsidRPr="00302995" w:rsidRDefault="00302995" w:rsidP="00302995">
      <w:pPr>
        <w:rPr>
          <w:b/>
          <w:bCs/>
        </w:rPr>
      </w:pPr>
      <w:r w:rsidRPr="00302995">
        <w:rPr>
          <w:b/>
          <w:bCs/>
        </w:rPr>
        <w:t>Ficheiro de Caso 03: A Maré Envenenada do Triângulo de Coral</w:t>
      </w:r>
    </w:p>
    <w:p w14:paraId="57F7A63D" w14:textId="77777777" w:rsidR="00302995" w:rsidRPr="00302995" w:rsidRDefault="00302995" w:rsidP="00302995">
      <w:r w:rsidRPr="00302995">
        <w:rPr>
          <w:b/>
          <w:bCs/>
        </w:rPr>
        <w:t>Sinopse:</w:t>
      </w:r>
      <w:r w:rsidRPr="00302995">
        <w:t xml:space="preserve"> Ocorre um evento de mortalidade em massa envolvendo tartarugas-marinhas, golfinhos e dugongos num arquipélago remoto. Kaelen chega ao local para coordenar a resposta de emergência.</w:t>
      </w:r>
    </w:p>
    <w:p w14:paraId="52B14BEC" w14:textId="77777777" w:rsidR="00302995" w:rsidRPr="00302995" w:rsidRDefault="00302995" w:rsidP="00302995">
      <w:r w:rsidRPr="00302995">
        <w:rPr>
          <w:b/>
          <w:bCs/>
        </w:rPr>
        <w:t>Competências Demonstradas:</w:t>
      </w:r>
      <w:r w:rsidRPr="00302995">
        <w:t xml:space="preserve"> Perícia em fisiologia e patologia de mamíferos e répteis marinhos </w:t>
      </w:r>
      <w:r w:rsidRPr="00302995">
        <w:rPr>
          <w:vertAlign w:val="superscript"/>
        </w:rPr>
        <w:t>23</w:t>
      </w:r>
      <w:r w:rsidRPr="00302995">
        <w:t xml:space="preserve">, triagem de emergência e medicina de campo </w:t>
      </w:r>
      <w:r w:rsidRPr="00302995">
        <w:rPr>
          <w:vertAlign w:val="superscript"/>
        </w:rPr>
        <w:t>97</w:t>
      </w:r>
      <w:r w:rsidRPr="00302995">
        <w:t>, e perícia forense ecológica.</w:t>
      </w:r>
    </w:p>
    <w:p w14:paraId="76BA8DCC" w14:textId="77777777" w:rsidR="00302995" w:rsidRPr="00302995" w:rsidRDefault="00302995" w:rsidP="00302995">
      <w:r w:rsidRPr="00302995">
        <w:rPr>
          <w:b/>
          <w:bCs/>
        </w:rPr>
        <w:t>Resolução:</w:t>
      </w:r>
      <w:r w:rsidRPr="00302995">
        <w:t xml:space="preserve"> Enquanto trata os animais sobreviventes, ele realiza necropsias de campo e analisa amostras de tecido, identificando uma neurotoxina. Usando o seu conhecimento de ecossistemas marinhos, ele rastreia a toxina não até à poluição industrial, mas a uma rara proliferação de algas desencadeada por correntes oceânicas invulgares e escoamento de nutrientes da desflorestação no interior — outra falha ecológica em cascata. A sua intervenção envolve não só o tratamento dos animais, mas também o fornecimento de dados às autoridades locais para abordar a causa raiz do problema: o uso insustentável da terra. Isto reforça o seu princípio fundamental de tratar o ecossistema, não apenas o paciente.</w:t>
      </w:r>
    </w:p>
    <w:p w14:paraId="5F11508A" w14:textId="77777777" w:rsidR="00302995" w:rsidRDefault="00302995"/>
    <w:sectPr w:rsidR="0030299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519AA"/>
    <w:multiLevelType w:val="multilevel"/>
    <w:tmpl w:val="7B9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224B2"/>
    <w:multiLevelType w:val="multilevel"/>
    <w:tmpl w:val="DB86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751915">
    <w:abstractNumId w:val="1"/>
  </w:num>
  <w:num w:numId="2" w16cid:durableId="84871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95"/>
    <w:rsid w:val="000D3E80"/>
    <w:rsid w:val="003029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E1A3"/>
  <w15:chartTrackingRefBased/>
  <w15:docId w15:val="{9F3AA0F0-EF3F-4858-894F-154045F3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02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02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029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029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029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029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029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029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0299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299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0299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0299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0299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0299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0299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0299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0299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02995"/>
    <w:rPr>
      <w:rFonts w:eastAsiaTheme="majorEastAsia" w:cstheme="majorBidi"/>
      <w:color w:val="272727" w:themeColor="text1" w:themeTint="D8"/>
    </w:rPr>
  </w:style>
  <w:style w:type="paragraph" w:styleId="Ttulo">
    <w:name w:val="Title"/>
    <w:basedOn w:val="Normal"/>
    <w:next w:val="Normal"/>
    <w:link w:val="TtuloChar"/>
    <w:uiPriority w:val="10"/>
    <w:qFormat/>
    <w:rsid w:val="00302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029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0299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0299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02995"/>
    <w:pPr>
      <w:spacing w:before="160"/>
      <w:jc w:val="center"/>
    </w:pPr>
    <w:rPr>
      <w:i/>
      <w:iCs/>
      <w:color w:val="404040" w:themeColor="text1" w:themeTint="BF"/>
    </w:rPr>
  </w:style>
  <w:style w:type="character" w:customStyle="1" w:styleId="CitaoChar">
    <w:name w:val="Citação Char"/>
    <w:basedOn w:val="Fontepargpadro"/>
    <w:link w:val="Citao"/>
    <w:uiPriority w:val="29"/>
    <w:rsid w:val="00302995"/>
    <w:rPr>
      <w:i/>
      <w:iCs/>
      <w:color w:val="404040" w:themeColor="text1" w:themeTint="BF"/>
    </w:rPr>
  </w:style>
  <w:style w:type="paragraph" w:styleId="PargrafodaLista">
    <w:name w:val="List Paragraph"/>
    <w:basedOn w:val="Normal"/>
    <w:uiPriority w:val="34"/>
    <w:qFormat/>
    <w:rsid w:val="00302995"/>
    <w:pPr>
      <w:ind w:left="720"/>
      <w:contextualSpacing/>
    </w:pPr>
  </w:style>
  <w:style w:type="character" w:styleId="nfaseIntensa">
    <w:name w:val="Intense Emphasis"/>
    <w:basedOn w:val="Fontepargpadro"/>
    <w:uiPriority w:val="21"/>
    <w:qFormat/>
    <w:rsid w:val="00302995"/>
    <w:rPr>
      <w:i/>
      <w:iCs/>
      <w:color w:val="0F4761" w:themeColor="accent1" w:themeShade="BF"/>
    </w:rPr>
  </w:style>
  <w:style w:type="paragraph" w:styleId="CitaoIntensa">
    <w:name w:val="Intense Quote"/>
    <w:basedOn w:val="Normal"/>
    <w:next w:val="Normal"/>
    <w:link w:val="CitaoIntensaChar"/>
    <w:uiPriority w:val="30"/>
    <w:qFormat/>
    <w:rsid w:val="00302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02995"/>
    <w:rPr>
      <w:i/>
      <w:iCs/>
      <w:color w:val="0F4761" w:themeColor="accent1" w:themeShade="BF"/>
    </w:rPr>
  </w:style>
  <w:style w:type="character" w:styleId="RefernciaIntensa">
    <w:name w:val="Intense Reference"/>
    <w:basedOn w:val="Fontepargpadro"/>
    <w:uiPriority w:val="32"/>
    <w:qFormat/>
    <w:rsid w:val="00302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3584</Words>
  <Characters>19356</Characters>
  <Application>Microsoft Office Word</Application>
  <DocSecurity>0</DocSecurity>
  <Lines>161</Lines>
  <Paragraphs>45</Paragraphs>
  <ScaleCrop>false</ScaleCrop>
  <Company/>
  <LinksUpToDate>false</LinksUpToDate>
  <CharactersWithSpaces>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2025-09-29T16:09:00Z</dcterms:created>
  <dcterms:modified xsi:type="dcterms:W3CDTF">2025-09-29T16:10:00Z</dcterms:modified>
</cp:coreProperties>
</file>