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1FEA2" w14:textId="77777777" w:rsidR="003725B6" w:rsidRPr="003725B6" w:rsidRDefault="003725B6" w:rsidP="003725B6">
      <w:pPr>
        <w:rPr>
          <w:b/>
          <w:bCs/>
        </w:rPr>
      </w:pPr>
      <w:r w:rsidRPr="003725B6">
        <w:rPr>
          <w:b/>
          <w:bCs/>
        </w:rPr>
        <w:t>Blueprint para o Omni-Contador: Uma Arquitetura de Conhecimento Abrangente para um Agente Financeiro Integrado</w:t>
      </w:r>
    </w:p>
    <w:p w14:paraId="439248CB" w14:textId="77777777" w:rsidR="003725B6" w:rsidRPr="003725B6" w:rsidRDefault="003725B6" w:rsidP="003725B6">
      <w:pPr>
        <w:rPr>
          <w:b/>
          <w:bCs/>
        </w:rPr>
      </w:pPr>
      <w:r w:rsidRPr="003725B6">
        <w:rPr>
          <w:b/>
          <w:bCs/>
        </w:rPr>
        <w:t>Parte I: A Fundação - Contabilidade Societária e Normas Globais de Relato</w:t>
      </w:r>
    </w:p>
    <w:p w14:paraId="5DFF7992" w14:textId="77777777" w:rsidR="003725B6" w:rsidRPr="003725B6" w:rsidRDefault="003725B6" w:rsidP="003725B6">
      <w:r w:rsidRPr="003725B6">
        <w:t>Esta parte fundamental estabelece a linguagem universal dos negócios. O agente deve, primeiramente, dominar os princípios da contabilidade, tanto no nível internacional (IFRS) quanto no contexto específico do Brasil (CPC). Este conhecimento não é meramente teórico; é a base para construir e interpretar as narrativas financeiras de qualquer empreendimento.</w:t>
      </w:r>
    </w:p>
    <w:p w14:paraId="2CE7D079" w14:textId="77777777" w:rsidR="003725B6" w:rsidRPr="003725B6" w:rsidRDefault="003725B6" w:rsidP="003725B6">
      <w:pPr>
        <w:rPr>
          <w:b/>
          <w:bCs/>
        </w:rPr>
      </w:pPr>
      <w:r w:rsidRPr="003725B6">
        <w:rPr>
          <w:b/>
          <w:bCs/>
        </w:rPr>
        <w:t>Seção 1.1: A Linguagem Internacional dos Negócios: International Financial Reporting Standards (IFRS)</w:t>
      </w:r>
    </w:p>
    <w:p w14:paraId="54358427" w14:textId="77777777" w:rsidR="003725B6" w:rsidRPr="003725B6" w:rsidRDefault="003725B6" w:rsidP="003725B6">
      <w:r w:rsidRPr="003725B6">
        <w:t>As Normas Internacionais de Relato Financeiro (IFRS) representam o padrão global para a preparação de demonstrações financeiras. Para que o agente atue como uma autoridade mundial, o domínio profundo deste conjunto de normas é um pré-requisito inegociável, pois permite a comparabilidade e a transparência entre empresas de diferentes jurisdições, facilitando investimentos, auditorias e a captação de recursos em escala global.</w:t>
      </w:r>
      <w:r w:rsidRPr="003725B6">
        <w:rPr>
          <w:vertAlign w:val="superscript"/>
        </w:rPr>
        <w:t>1</w:t>
      </w:r>
    </w:p>
    <w:p w14:paraId="241BAFF9" w14:textId="77777777" w:rsidR="003725B6" w:rsidRPr="003725B6" w:rsidRDefault="003725B6" w:rsidP="003725B6">
      <w:pPr>
        <w:rPr>
          <w:b/>
          <w:bCs/>
        </w:rPr>
      </w:pPr>
      <w:r w:rsidRPr="003725B6">
        <w:rPr>
          <w:b/>
          <w:bCs/>
        </w:rPr>
        <w:t>Conceitos Fundamentais</w:t>
      </w:r>
    </w:p>
    <w:p w14:paraId="553ABB32" w14:textId="77777777" w:rsidR="003725B6" w:rsidRPr="003725B6" w:rsidRDefault="003725B6" w:rsidP="003725B6">
      <w:r w:rsidRPr="003725B6">
        <w:t>O agente deve compreender a origem e o propósito das IFRS, que surgiram dos esforços do International Accounting Standards Committee (IASC), fundado em 1973, e hoje são desenvolvidas e mantidas pelo International Accounting Standards Board (IASB).</w:t>
      </w:r>
      <w:r w:rsidRPr="003725B6">
        <w:rPr>
          <w:vertAlign w:val="superscript"/>
        </w:rPr>
        <w:t>2</w:t>
      </w:r>
      <w:r w:rsidRPr="003725B6">
        <w:t xml:space="preserve"> O objetivo central é estabelecer um conjunto único de normas contábeis de alta qualidade, aplicáveis globalmente, para que investidores e outros stakeholders possam tomar decisões econômicas informadas.</w:t>
      </w:r>
      <w:r w:rsidRPr="003725B6">
        <w:rPr>
          <w:vertAlign w:val="superscript"/>
        </w:rPr>
        <w:t>1</w:t>
      </w:r>
      <w:r w:rsidRPr="003725B6">
        <w:t xml:space="preserve"> A adoção das IFRS promove a padronização dos procedimentos contábeis, independentemente do país de origem da empresa.</w:t>
      </w:r>
      <w:r w:rsidRPr="003725B6">
        <w:rPr>
          <w:vertAlign w:val="superscript"/>
        </w:rPr>
        <w:t>3</w:t>
      </w:r>
    </w:p>
    <w:p w14:paraId="492C61E7" w14:textId="77777777" w:rsidR="003725B6" w:rsidRPr="003725B6" w:rsidRDefault="003725B6" w:rsidP="003725B6">
      <w:pPr>
        <w:rPr>
          <w:b/>
          <w:bCs/>
        </w:rPr>
      </w:pPr>
      <w:r w:rsidRPr="003725B6">
        <w:rPr>
          <w:b/>
          <w:bCs/>
        </w:rPr>
        <w:t>Estrutura e Normas Chave</w:t>
      </w:r>
    </w:p>
    <w:p w14:paraId="46B4B49B" w14:textId="77777777" w:rsidR="003725B6" w:rsidRPr="003725B6" w:rsidRDefault="003725B6" w:rsidP="003725B6">
      <w:r w:rsidRPr="003725B6">
        <w:t>Um conhecimento operacional detalhado de cada norma IFRS é essencial. Isso vai além da memorização das regras, exigindo a compreensão do escopo, dos critérios de reconhecimento, das bases de mensuração e dos requisitos de divulgação de cada padrão. O agente deve dominar, no mínimo, os seguintes grupos de normas:</w:t>
      </w:r>
    </w:p>
    <w:p w14:paraId="1D818869" w14:textId="77777777" w:rsidR="003725B6" w:rsidRPr="003725B6" w:rsidRDefault="003725B6" w:rsidP="003725B6">
      <w:pPr>
        <w:numPr>
          <w:ilvl w:val="0"/>
          <w:numId w:val="1"/>
        </w:numPr>
      </w:pPr>
      <w:r w:rsidRPr="003725B6">
        <w:rPr>
          <w:b/>
          <w:bCs/>
        </w:rPr>
        <w:t>Receitas e Instrumentos Financeiros:</w:t>
      </w:r>
      <w:r w:rsidRPr="003725B6">
        <w:t xml:space="preserve"> IFRS 15 (Receita de Contrato com Cliente), que estabelece um modelo abrangente para o reconhecimento de receitas; IFRS 9 (Instrumentos Financeiros), que aborda a classificação, mensuração e o modelo de perdas de crédito esperadas; e IFRS 7 (Instrumentos Financeiros: Divulgações), que exige a evidenciação dos riscos associados a instrumentos financeiros.</w:t>
      </w:r>
      <w:r w:rsidRPr="003725B6">
        <w:rPr>
          <w:vertAlign w:val="superscript"/>
        </w:rPr>
        <w:t>1</w:t>
      </w:r>
    </w:p>
    <w:p w14:paraId="0D5ADF6B" w14:textId="77777777" w:rsidR="003725B6" w:rsidRPr="003725B6" w:rsidRDefault="003725B6" w:rsidP="003725B6">
      <w:pPr>
        <w:numPr>
          <w:ilvl w:val="0"/>
          <w:numId w:val="1"/>
        </w:numPr>
      </w:pPr>
      <w:r w:rsidRPr="003725B6">
        <w:rPr>
          <w:b/>
          <w:bCs/>
        </w:rPr>
        <w:t>Ativos e Passivos:</w:t>
      </w:r>
      <w:r w:rsidRPr="003725B6">
        <w:t xml:space="preserve"> IFRS 16 (Arrendamentos), que trouxe a maioria dos arrendamentos para o balanço patrimonial do arrendatário; IAS 16 (Ativo Imobilizado); IAS 38 (Ativo Intangível); e IAS 37 (Provisões, Passivos Contingentes e Ativos Contingentes), que orienta o tratamento de incertezas.</w:t>
      </w:r>
      <w:r w:rsidRPr="003725B6">
        <w:rPr>
          <w:vertAlign w:val="superscript"/>
        </w:rPr>
        <w:t>1</w:t>
      </w:r>
    </w:p>
    <w:p w14:paraId="7239B2FB" w14:textId="77777777" w:rsidR="003725B6" w:rsidRPr="003725B6" w:rsidRDefault="003725B6" w:rsidP="003725B6">
      <w:pPr>
        <w:numPr>
          <w:ilvl w:val="0"/>
          <w:numId w:val="1"/>
        </w:numPr>
      </w:pPr>
      <w:r w:rsidRPr="003725B6">
        <w:rPr>
          <w:b/>
          <w:bCs/>
        </w:rPr>
        <w:t>Contabilidade de Grupos:</w:t>
      </w:r>
      <w:r w:rsidRPr="003725B6">
        <w:t xml:space="preserve"> IFRS 3 (Combinação de Negócios), que rege a contabilização de aquisições; IFRS 10 (Demonstrações Consolidadas), que define o princípio de controle para a consolidação; e IFRS 11 (Negócios em Conjunto), que trata de acordos conjuntos.</w:t>
      </w:r>
      <w:r w:rsidRPr="003725B6">
        <w:rPr>
          <w:vertAlign w:val="superscript"/>
        </w:rPr>
        <w:t>1</w:t>
      </w:r>
    </w:p>
    <w:p w14:paraId="2A944058" w14:textId="77777777" w:rsidR="003725B6" w:rsidRPr="003725B6" w:rsidRDefault="003725B6" w:rsidP="003725B6">
      <w:pPr>
        <w:numPr>
          <w:ilvl w:val="0"/>
          <w:numId w:val="1"/>
        </w:numPr>
      </w:pPr>
      <w:r w:rsidRPr="003725B6">
        <w:rPr>
          <w:b/>
          <w:bCs/>
        </w:rPr>
        <w:t>Apresentação e Divulgação:</w:t>
      </w:r>
      <w:r w:rsidRPr="003725B6">
        <w:t xml:space="preserve"> IAS 1 (Apresentação das Demonstrações Contábeis), que estabelece a base para a apresentação das demonstrações financeiras; e a recém-introduzida IFRS 18, que reformula a Demonstração do Resultado, exigindo novos subtotais obrigatórios como "Lucro operacional" e "Lucro antes do resultado financeiro e imposto de renda", com o objetivo de aumentar a comparabilidade entre as empresas ao padronizar a classificação de receitas e despesas em categorias como operacional, investimento e financiamento.</w:t>
      </w:r>
      <w:r w:rsidRPr="003725B6">
        <w:rPr>
          <w:vertAlign w:val="superscript"/>
        </w:rPr>
        <w:t>5</w:t>
      </w:r>
    </w:p>
    <w:p w14:paraId="14753EDF" w14:textId="77777777" w:rsidR="003725B6" w:rsidRPr="003725B6" w:rsidRDefault="003725B6" w:rsidP="003725B6">
      <w:pPr>
        <w:rPr>
          <w:b/>
          <w:bCs/>
        </w:rPr>
      </w:pPr>
      <w:r w:rsidRPr="003725B6">
        <w:rPr>
          <w:b/>
          <w:bCs/>
        </w:rPr>
        <w:t>Princípios de Aplicação</w:t>
      </w:r>
    </w:p>
    <w:p w14:paraId="70F9AEC0" w14:textId="77777777" w:rsidR="003725B6" w:rsidRPr="003725B6" w:rsidRDefault="003725B6" w:rsidP="003725B6">
      <w:r w:rsidRPr="003725B6">
        <w:t>As IFRS são baseadas em princípios, e não em regras estritas. Portanto, o agente deve internalizar conceitos fundamentais como a "prevalência da essência sobre a forma" e a busca pela "imagem verdadeira e justa" (</w:t>
      </w:r>
      <w:r w:rsidRPr="003725B6">
        <w:rPr>
          <w:i/>
          <w:iCs/>
        </w:rPr>
        <w:t>true and fair view</w:t>
      </w:r>
      <w:r w:rsidRPr="003725B6">
        <w:t>).</w:t>
      </w:r>
      <w:r w:rsidRPr="003725B6">
        <w:rPr>
          <w:vertAlign w:val="superscript"/>
        </w:rPr>
        <w:t>6</w:t>
      </w:r>
      <w:r w:rsidRPr="003725B6">
        <w:t xml:space="preserve"> Isso exige a capacidade de exercer julgamento profissional para refletir a realidade econômica das transações, uma habilidade que transcende a simples aplicação mecânica de regras.</w:t>
      </w:r>
    </w:p>
    <w:p w14:paraId="35B1EF5E" w14:textId="77777777" w:rsidR="003725B6" w:rsidRPr="003725B6" w:rsidRDefault="003725B6" w:rsidP="003725B6">
      <w:pPr>
        <w:rPr>
          <w:b/>
          <w:bCs/>
        </w:rPr>
      </w:pPr>
      <w:r w:rsidRPr="003725B6">
        <w:rPr>
          <w:b/>
          <w:bCs/>
        </w:rPr>
        <w:t>Seção 1.2: O Arcabouço Brasileiro: Comitê de Pronunciamentos Contábeis (CPC) e a Convergência</w:t>
      </w:r>
    </w:p>
    <w:p w14:paraId="0638A71E" w14:textId="77777777" w:rsidR="003725B6" w:rsidRPr="003725B6" w:rsidRDefault="003725B6" w:rsidP="003725B6">
      <w:r w:rsidRPr="003725B6">
        <w:t>No Brasil, a adoção das IFRS é mediada pelo Comitê de Pronunciamentos Contábeis (CPC). O agente deve entender a dinâmica única deste processo de convergência para aplicar corretamente as normas no contexto local.</w:t>
      </w:r>
    </w:p>
    <w:p w14:paraId="466FE5B1" w14:textId="77777777" w:rsidR="003725B6" w:rsidRPr="003725B6" w:rsidRDefault="003725B6" w:rsidP="003725B6">
      <w:pPr>
        <w:rPr>
          <w:b/>
          <w:bCs/>
        </w:rPr>
      </w:pPr>
      <w:r w:rsidRPr="003725B6">
        <w:rPr>
          <w:b/>
          <w:bCs/>
        </w:rPr>
        <w:t>Estrutura e Autoridade</w:t>
      </w:r>
    </w:p>
    <w:p w14:paraId="4DCB8F31" w14:textId="77777777" w:rsidR="003725B6" w:rsidRPr="003725B6" w:rsidRDefault="003725B6" w:rsidP="003725B6">
      <w:r w:rsidRPr="003725B6">
        <w:t>O CPC foi criado pela Resolução CFC nº 1.055/05 com o objetivo de estudar, preparar e emitir pronunciamentos técnicos para centralizar e uniformizar o processo de produção de normas contábeis, visando a convergência com os padrões internacionais.</w:t>
      </w:r>
      <w:r w:rsidRPr="003725B6">
        <w:rPr>
          <w:vertAlign w:val="superscript"/>
        </w:rPr>
        <w:t>7</w:t>
      </w:r>
      <w:r w:rsidRPr="003725B6">
        <w:t xml:space="preserve"> É crucial que o agente compreenda que os pronunciamentos do CPC, por si sós, não têm força de norma. Eles se tornam obrigatórios quando são aprovados e transformados em normas por órgãos reguladores, como o Conselho Federal de Contabilidade (CFC), a Comissão de Valores Mobiliários (CVM) e o Banco Central do Brasil (BCB).</w:t>
      </w:r>
      <w:r w:rsidRPr="003725B6">
        <w:rPr>
          <w:vertAlign w:val="superscript"/>
        </w:rPr>
        <w:t>7</w:t>
      </w:r>
    </w:p>
    <w:p w14:paraId="1541271E" w14:textId="77777777" w:rsidR="003725B6" w:rsidRPr="003725B6" w:rsidRDefault="003725B6" w:rsidP="003725B6">
      <w:pPr>
        <w:rPr>
          <w:b/>
          <w:bCs/>
        </w:rPr>
      </w:pPr>
      <w:r w:rsidRPr="003725B6">
        <w:rPr>
          <w:b/>
          <w:bCs/>
        </w:rPr>
        <w:t>Processo de Convergência</w:t>
      </w:r>
    </w:p>
    <w:p w14:paraId="7F8654FB" w14:textId="77777777" w:rsidR="003725B6" w:rsidRPr="003725B6" w:rsidRDefault="003725B6" w:rsidP="003725B6">
      <w:r w:rsidRPr="003725B6">
        <w:t>O agente deve saber que o Brasil adotou integralmente as IFRS para as companhias de capital aberto e para a maioria das instituições financeiras, tanto para as demonstrações consolidadas quanto para as individuais.</w:t>
      </w:r>
      <w:r w:rsidRPr="003725B6">
        <w:rPr>
          <w:vertAlign w:val="superscript"/>
        </w:rPr>
        <w:t>4</w:t>
      </w:r>
      <w:r w:rsidRPr="003725B6">
        <w:t xml:space="preserve"> Os CPCs são os documentos que formalizam essa adoção, traduzindo e adaptando as IFRS para a realidade brasileira.</w:t>
      </w:r>
      <w:r w:rsidRPr="003725B6">
        <w:rPr>
          <w:vertAlign w:val="superscript"/>
        </w:rPr>
        <w:t>1</w:t>
      </w:r>
      <w:r w:rsidRPr="003725B6">
        <w:t xml:space="preserve"> Este processo inclui a internalização de modificações específicas feitas pelo Brasil. Um exemplo notável é a eliminação da opção de reavaliação de ativos imobilizados e intangíveis, permitida pelas IAS 16 e IAS 38, mas vedada na prática brasileira para evitar distorções.</w:t>
      </w:r>
      <w:r w:rsidRPr="003725B6">
        <w:rPr>
          <w:vertAlign w:val="superscript"/>
        </w:rPr>
        <w:t>4</w:t>
      </w:r>
    </w:p>
    <w:p w14:paraId="5F770C08" w14:textId="77777777" w:rsidR="003725B6" w:rsidRPr="003725B6" w:rsidRDefault="003725B6" w:rsidP="003725B6">
      <w:pPr>
        <w:rPr>
          <w:b/>
          <w:bCs/>
        </w:rPr>
      </w:pPr>
      <w:r w:rsidRPr="003725B6">
        <w:rPr>
          <w:b/>
          <w:bCs/>
        </w:rPr>
        <w:t>Conhecimento Completo dos CPCs</w:t>
      </w:r>
    </w:p>
    <w:p w14:paraId="751569A4" w14:textId="77777777" w:rsidR="003725B6" w:rsidRPr="003725B6" w:rsidRDefault="003725B6" w:rsidP="003725B6">
      <w:r w:rsidRPr="003725B6">
        <w:t>O domínio de todos os pronunciamentos emitidos pelo CPC é mandatório. A base de todo o conhecimento é o CPC 00 (R2) - Estrutura Conceitual para Relatório Financeiro, que descreve os conceitos fundamentais que sustentam a elaboração e apresentação das demonstrações contábeis e serve como guia para a interpretação de todos os outros pronunciamentos.</w:t>
      </w:r>
      <w:r w:rsidRPr="003725B6">
        <w:rPr>
          <w:vertAlign w:val="superscript"/>
        </w:rPr>
        <w:t>8</w:t>
      </w:r>
      <w:r w:rsidRPr="003725B6">
        <w:t xml:space="preserve"> A partir daí, o agente deve dominar cada norma específica, como o CPC 01 (Redução ao Valor Recuperável de Ativos - </w:t>
      </w:r>
    </w:p>
    <w:p w14:paraId="5182B782" w14:textId="77777777" w:rsidR="003725B6" w:rsidRPr="003725B6" w:rsidRDefault="003725B6" w:rsidP="003725B6">
      <w:r w:rsidRPr="003725B6">
        <w:rPr>
          <w:i/>
          <w:iCs/>
        </w:rPr>
        <w:t>Impairment</w:t>
      </w:r>
      <w:r w:rsidRPr="003725B6">
        <w:t>), CPC 03 (Demonstração dos Fluxos de Caixa), CPC 06 (Arrendamentos), CPC 09 (Demonstração do Valor Adicionado), CPC 47 (Receita de Contrato com Cliente), entre outros.</w:t>
      </w:r>
      <w:r w:rsidRPr="003725B6">
        <w:rPr>
          <w:vertAlign w:val="superscript"/>
        </w:rPr>
        <w:t>10</w:t>
      </w:r>
      <w:r w:rsidRPr="003725B6">
        <w:t xml:space="preserve"> O conhecimento deve se estender também à norma específica para Pequenas e Médias Empresas, o CPC PME, que oferece um conjunto simplificado de exigências contábeis.</w:t>
      </w:r>
      <w:r w:rsidRPr="003725B6">
        <w:rPr>
          <w:vertAlign w:val="superscript"/>
        </w:rPr>
        <w:t>4</w:t>
      </w:r>
    </w:p>
    <w:p w14:paraId="1EC6C4AE" w14:textId="77777777" w:rsidR="003725B6" w:rsidRPr="003725B6" w:rsidRDefault="003725B6" w:rsidP="003725B6">
      <w:pPr>
        <w:rPr>
          <w:b/>
          <w:bCs/>
        </w:rPr>
      </w:pPr>
      <w:r w:rsidRPr="003725B6">
        <w:rPr>
          <w:b/>
          <w:bCs/>
        </w:rPr>
        <w:t>Seção 1.3: Dominando as Demonstrações Financeiras: Elaboração e Análise Aprofundada</w:t>
      </w:r>
    </w:p>
    <w:p w14:paraId="4A740181" w14:textId="77777777" w:rsidR="003725B6" w:rsidRPr="003725B6" w:rsidRDefault="003725B6" w:rsidP="003725B6">
      <w:r w:rsidRPr="003725B6">
        <w:t>A capacidade de elaborar e, mais importante, analisar criticamente as demonstrações financeiras é a competência central de qualquer contador de elite. O agente deve ir além da simples preparação, extraindo insights estratégicos de cada relatório.</w:t>
      </w:r>
    </w:p>
    <w:p w14:paraId="5F6A97D7" w14:textId="77777777" w:rsidR="003725B6" w:rsidRPr="003725B6" w:rsidRDefault="003725B6" w:rsidP="003725B6">
      <w:pPr>
        <w:rPr>
          <w:b/>
          <w:bCs/>
        </w:rPr>
      </w:pPr>
      <w:r w:rsidRPr="003725B6">
        <w:rPr>
          <w:b/>
          <w:bCs/>
        </w:rPr>
        <w:t>Balanço Patrimonial (BP)</w:t>
      </w:r>
    </w:p>
    <w:p w14:paraId="174FF51D" w14:textId="77777777" w:rsidR="003725B6" w:rsidRPr="003725B6" w:rsidRDefault="003725B6" w:rsidP="003725B6">
      <w:r w:rsidRPr="003725B6">
        <w:t>O agente deve ser capaz de construir e analisar o Balanço Patrimonial, compreendendo-o como uma "fotografia" da posição financeira de uma empresa em um momento específico, regido pela equação fundamental: Ativos=Passivos+Patrimo^nioLı</w:t>
      </w:r>
      <w:r w:rsidRPr="003725B6">
        <w:rPr>
          <w:rFonts w:ascii="Arial" w:hAnsi="Arial" w:cs="Arial"/>
        </w:rPr>
        <w:t>ˊ</w:t>
      </w:r>
      <w:r w:rsidRPr="003725B6">
        <w:t>quido.</w:t>
      </w:r>
      <w:r w:rsidRPr="003725B6">
        <w:rPr>
          <w:vertAlign w:val="superscript"/>
        </w:rPr>
        <w:t>12</w:t>
      </w:r>
      <w:r w:rsidRPr="003725B6">
        <w:t xml:space="preserve"> A análise envolve a correta classificação de ativos e passivos em circulantes e não circulantes, o que é essencial para avaliar a liquidez de curto prazo e a solvência de longo prazo.</w:t>
      </w:r>
      <w:r w:rsidRPr="003725B6">
        <w:rPr>
          <w:vertAlign w:val="superscript"/>
        </w:rPr>
        <w:t>15</w:t>
      </w:r>
      <w:r w:rsidRPr="003725B6">
        <w:t xml:space="preserve"> A partir do BP, o agente deve calcular e interpretar indicadores-chave de liquidez (corrente, seca, imediata) e de endividamento (grau de endividamento, composição do endividamento), fornecendo um diagnóstico preciso da saúde financeira da empresa.</w:t>
      </w:r>
      <w:r w:rsidRPr="003725B6">
        <w:rPr>
          <w:vertAlign w:val="superscript"/>
        </w:rPr>
        <w:t>12</w:t>
      </w:r>
    </w:p>
    <w:p w14:paraId="717B237D" w14:textId="77777777" w:rsidR="003725B6" w:rsidRPr="003725B6" w:rsidRDefault="003725B6" w:rsidP="003725B6">
      <w:pPr>
        <w:rPr>
          <w:b/>
          <w:bCs/>
        </w:rPr>
      </w:pPr>
      <w:r w:rsidRPr="003725B6">
        <w:rPr>
          <w:b/>
          <w:bCs/>
        </w:rPr>
        <w:t>Demonstração do Resultado do Exercício (DRE)</w:t>
      </w:r>
    </w:p>
    <w:p w14:paraId="1C0D56F7" w14:textId="77777777" w:rsidR="003725B6" w:rsidRPr="003725B6" w:rsidRDefault="003725B6" w:rsidP="003725B6">
      <w:r w:rsidRPr="003725B6">
        <w:t>A DRE resume o desempenho econômico de uma empresa ao longo de um período, confrontando receitas, custos e despesas para apurar o lucro ou prejuízo líquido.</w:t>
      </w:r>
      <w:r w:rsidRPr="003725B6">
        <w:rPr>
          <w:vertAlign w:val="superscript"/>
        </w:rPr>
        <w:t>16</w:t>
      </w:r>
      <w:r w:rsidRPr="003725B6">
        <w:t xml:space="preserve"> O agente deve dominar sua estrutura dedutiva, desde a receita bruta até o resultado líquido. A análise da DRE deve incluir tanto a análise vertical, que revela a participação de cada conta no resultado (por exemplo, qual a porcentagem da receita consumida pelo custo dos produtos vendidos), quanto a análise horizontal, que compara a evolução de cada linha ao longo de diferentes períodos, identificando tendências de crescimento ou deterioração da rentabilidade.</w:t>
      </w:r>
      <w:r w:rsidRPr="003725B6">
        <w:rPr>
          <w:vertAlign w:val="superscript"/>
        </w:rPr>
        <w:t>16</w:t>
      </w:r>
    </w:p>
    <w:p w14:paraId="46CE1294" w14:textId="77777777" w:rsidR="003725B6" w:rsidRPr="003725B6" w:rsidRDefault="003725B6" w:rsidP="003725B6">
      <w:pPr>
        <w:rPr>
          <w:b/>
          <w:bCs/>
        </w:rPr>
      </w:pPr>
      <w:r w:rsidRPr="003725B6">
        <w:rPr>
          <w:b/>
          <w:bCs/>
        </w:rPr>
        <w:t>Demonstração do Fluxo de Caixa (DFC)</w:t>
      </w:r>
    </w:p>
    <w:p w14:paraId="6AAB913A" w14:textId="77777777" w:rsidR="003725B6" w:rsidRPr="003725B6" w:rsidRDefault="003725B6" w:rsidP="003725B6">
      <w:r w:rsidRPr="003725B6">
        <w:t>A DFC é vital para avaliar a capacidade de uma empresa de gerar caixa e equivalentes de caixa, sendo muitas vezes mais reveladora sobre a saúde financeira do que a DRE, que é baseada no regime de competência.</w:t>
      </w:r>
      <w:r w:rsidRPr="003725B6">
        <w:rPr>
          <w:vertAlign w:val="superscript"/>
        </w:rPr>
        <w:t>20</w:t>
      </w:r>
      <w:r w:rsidRPr="003725B6">
        <w:t xml:space="preserve"> O agente deve ser proficiente na elaboração da DFC pelos métodos direto e indireto, conforme o CPC 03.</w:t>
      </w:r>
      <w:r w:rsidRPr="003725B6">
        <w:rPr>
          <w:vertAlign w:val="superscript"/>
        </w:rPr>
        <w:t>22</w:t>
      </w:r>
      <w:r w:rsidRPr="003725B6">
        <w:t xml:space="preserve"> A análise deve ser segmentada nas três atividades principais: operacional, de investimento e de financiamento. Essa estrutura permite diagnosticar se a empresa está gerando caixa com suas operações principais, se está investindo em seu crescimento futuro ou se depende de financiamentos para se sustentar.</w:t>
      </w:r>
      <w:r w:rsidRPr="003725B6">
        <w:rPr>
          <w:vertAlign w:val="superscript"/>
        </w:rPr>
        <w:t>20</w:t>
      </w:r>
    </w:p>
    <w:p w14:paraId="52EF59A0" w14:textId="77777777" w:rsidR="003725B6" w:rsidRPr="003725B6" w:rsidRDefault="003725B6" w:rsidP="003725B6">
      <w:pPr>
        <w:rPr>
          <w:b/>
          <w:bCs/>
        </w:rPr>
      </w:pPr>
      <w:r w:rsidRPr="003725B6">
        <w:rPr>
          <w:b/>
          <w:bCs/>
        </w:rPr>
        <w:t>Demonstração das Mutações do Patrimônio Líquido (DMPL)</w:t>
      </w:r>
    </w:p>
    <w:p w14:paraId="434E3D1F" w14:textId="77777777" w:rsidR="003725B6" w:rsidRPr="003725B6" w:rsidRDefault="003725B6" w:rsidP="003725B6">
      <w:r w:rsidRPr="003725B6">
        <w:t>A DMPL é a demonstração mais completa sobre a evolução do patrimônio líquido, detalhando todas as movimentações ocorridas nas contas que o compõem durante o exercício, como aumentos de capital, distribuição de dividendos, ajustes de avaliação patrimonial e o resultado líquido do período.</w:t>
      </w:r>
      <w:r w:rsidRPr="003725B6">
        <w:rPr>
          <w:vertAlign w:val="superscript"/>
        </w:rPr>
        <w:t>25</w:t>
      </w:r>
      <w:r w:rsidRPr="003725B6">
        <w:t xml:space="preserve"> O agente deve entender que a DMPL é mais abrangente que a Demonstração de Lucros ou Prejuízos Acumulados (DLPA) e, quando elaborada, a substitui.</w:t>
      </w:r>
      <w:r w:rsidRPr="003725B6">
        <w:rPr>
          <w:vertAlign w:val="superscript"/>
        </w:rPr>
        <w:t>26</w:t>
      </w:r>
      <w:r w:rsidRPr="003725B6">
        <w:t xml:space="preserve"> Ela é essencial para que acionistas e investidores compreendam como o valor da empresa foi alterado pelas operações e decisões da gestão.</w:t>
      </w:r>
      <w:r w:rsidRPr="003725B6">
        <w:rPr>
          <w:vertAlign w:val="superscript"/>
        </w:rPr>
        <w:t>26</w:t>
      </w:r>
    </w:p>
    <w:p w14:paraId="2B8B9A9D" w14:textId="77777777" w:rsidR="003725B6" w:rsidRPr="003725B6" w:rsidRDefault="003725B6" w:rsidP="003725B6">
      <w:pPr>
        <w:rPr>
          <w:b/>
          <w:bCs/>
        </w:rPr>
      </w:pPr>
      <w:r w:rsidRPr="003725B6">
        <w:rPr>
          <w:b/>
          <w:bCs/>
        </w:rPr>
        <w:t>Demonstração do Valor Adicionado (DVA)</w:t>
      </w:r>
    </w:p>
    <w:p w14:paraId="25B75666" w14:textId="77777777" w:rsidR="003725B6" w:rsidRPr="003725B6" w:rsidRDefault="003725B6" w:rsidP="003725B6">
      <w:r w:rsidRPr="003725B6">
        <w:t>Com um propósito socioeconômico distinto, a DVA evidencia a riqueza gerada pela empresa e como essa riqueza foi distribuída entre os diferentes agentes que contribuíram para sua formação: pessoal (salários e benefícios), governo (impostos, taxas e contribuições), remuneradores de capital de terceiros (juros e aluguéis) e remuneradores de capital próprio (dividendos e lucros retidos).</w:t>
      </w:r>
      <w:r w:rsidRPr="003725B6">
        <w:rPr>
          <w:vertAlign w:val="superscript"/>
        </w:rPr>
        <w:t>29</w:t>
      </w:r>
      <w:r w:rsidRPr="003725B6">
        <w:t xml:space="preserve"> O agente deve compreender as particularidades de sua elaboração, como o tratamento da receita bruta (e não líquida) e a inclusão da depreciação como parte da riqueza retida, o que a diferencia conceitualmente da DRE.</w:t>
      </w:r>
      <w:r w:rsidRPr="003725B6">
        <w:rPr>
          <w:vertAlign w:val="superscript"/>
        </w:rPr>
        <w:t>32</w:t>
      </w:r>
    </w:p>
    <w:p w14:paraId="057A46F9" w14:textId="77777777" w:rsidR="003725B6" w:rsidRPr="003725B6" w:rsidRDefault="003725B6" w:rsidP="003725B6">
      <w:r w:rsidRPr="003725B6">
        <w:t xml:space="preserve">A verdadeira maestria contábil não reside na análise isolada de cada demonstração financeira, mas na capacidade de tecê-las em uma narrativa coesa e interconectada que revela a história completa da saúde e do desempenho de uma empresa. A DRE explica o </w:t>
      </w:r>
      <w:r w:rsidRPr="003725B6">
        <w:rPr>
          <w:i/>
          <w:iCs/>
        </w:rPr>
        <w:t>porquê</w:t>
      </w:r>
      <w:r w:rsidRPr="003725B6">
        <w:t xml:space="preserve"> da variação no patrimônio líquido do Balanço Patrimonial, detalhada na DMPL.</w:t>
      </w:r>
      <w:r w:rsidRPr="003725B6">
        <w:rPr>
          <w:vertAlign w:val="superscript"/>
        </w:rPr>
        <w:t>17</w:t>
      </w:r>
      <w:r w:rsidRPr="003725B6">
        <w:t xml:space="preserve"> A DFC, por sua vez, reconcilia o lucro apurado na DRE (regime de competência) com a variação real do caixa no Balanço Patrimonial (regime de caixa), explicando </w:t>
      </w:r>
    </w:p>
    <w:p w14:paraId="3F016F9C" w14:textId="77777777" w:rsidR="003725B6" w:rsidRPr="003725B6" w:rsidRDefault="003725B6" w:rsidP="003725B6">
      <w:r w:rsidRPr="003725B6">
        <w:rPr>
          <w:i/>
          <w:iCs/>
        </w:rPr>
        <w:t>como</w:t>
      </w:r>
      <w:r w:rsidRPr="003725B6">
        <w:t xml:space="preserve"> o resultado se transformou (ou não) em dinheiro.</w:t>
      </w:r>
      <w:r w:rsidRPr="003725B6">
        <w:rPr>
          <w:vertAlign w:val="superscript"/>
        </w:rPr>
        <w:t>20</w:t>
      </w:r>
      <w:r w:rsidRPr="003725B6">
        <w:t xml:space="preserve"> Finalmente, a DVA contextualiza a riqueza gerada, mostrando sua distribuição para a sociedade, uma perspectiva que as outras demonstrações não oferecem.</w:t>
      </w:r>
      <w:r w:rsidRPr="003725B6">
        <w:rPr>
          <w:vertAlign w:val="superscript"/>
        </w:rPr>
        <w:t>31</w:t>
      </w:r>
    </w:p>
    <w:p w14:paraId="35239382" w14:textId="77777777" w:rsidR="003725B6" w:rsidRPr="003725B6" w:rsidRDefault="003725B6" w:rsidP="003725B6">
      <w:r w:rsidRPr="003725B6">
        <w:t>Um agente de elite, portanto, não pode analisar um relatório sem cruzar suas informações com os demais. Por exemplo, um lucro líquido elevado na DRE acompanhado de um fluxo de caixa operacional negativo na DFC é um sinal de alerta crítico. O agente deve ser programado para identificar imediatamente essa discrepância e investigar suas causas, como um crescimento insustentável das contas a receber ou um acúmulo de estoques. Essa capacidade de análise integrada é o que distingue um analista financeiro estratégico de um mero registrador de transações.</w:t>
      </w:r>
    </w:p>
    <w:tbl>
      <w:tblPr>
        <w:tblW w:w="0" w:type="auto"/>
        <w:tblCellSpacing w:w="15" w:type="dxa"/>
        <w:tblCellMar>
          <w:left w:w="0" w:type="dxa"/>
          <w:right w:w="0" w:type="dxa"/>
        </w:tblCellMar>
        <w:tblLook w:val="04A0" w:firstRow="1" w:lastRow="0" w:firstColumn="1" w:lastColumn="0" w:noHBand="0" w:noVBand="1"/>
      </w:tblPr>
      <w:tblGrid>
        <w:gridCol w:w="1630"/>
        <w:gridCol w:w="1624"/>
        <w:gridCol w:w="2336"/>
        <w:gridCol w:w="1294"/>
        <w:gridCol w:w="1604"/>
      </w:tblGrid>
      <w:tr w:rsidR="003725B6" w:rsidRPr="003725B6" w14:paraId="1ED436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EA1EB" w14:textId="77777777" w:rsidR="003725B6" w:rsidRPr="003725B6" w:rsidRDefault="003725B6" w:rsidP="003725B6">
            <w:r w:rsidRPr="003725B6">
              <w:t>Tabela 1: Principais Demonstrações Financeiras - Propósito e Componentes Essenciais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676FB"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F6761"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DD92B"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113DF" w14:textId="77777777" w:rsidR="003725B6" w:rsidRPr="003725B6" w:rsidRDefault="003725B6" w:rsidP="003725B6"/>
        </w:tc>
      </w:tr>
      <w:tr w:rsidR="003725B6" w:rsidRPr="003725B6" w14:paraId="66B2C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32A9E4" w14:textId="77777777" w:rsidR="003725B6" w:rsidRPr="003725B6" w:rsidRDefault="003725B6" w:rsidP="003725B6">
            <w:r w:rsidRPr="003725B6">
              <w:rPr>
                <w:b/>
                <w:bCs/>
              </w:rPr>
              <w:t>Demonstração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C6BD8" w14:textId="77777777" w:rsidR="003725B6" w:rsidRPr="003725B6" w:rsidRDefault="003725B6" w:rsidP="003725B6">
            <w:r w:rsidRPr="003725B6">
              <w:rPr>
                <w:b/>
                <w:bCs/>
              </w:rPr>
              <w:t>Propósito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1F30B" w14:textId="77777777" w:rsidR="003725B6" w:rsidRPr="003725B6" w:rsidRDefault="003725B6" w:rsidP="003725B6">
            <w:r w:rsidRPr="003725B6">
              <w:rPr>
                <w:b/>
                <w:bCs/>
              </w:rPr>
              <w:t>Componentes/Estrutura Chave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5C1F8" w14:textId="77777777" w:rsidR="003725B6" w:rsidRPr="003725B6" w:rsidRDefault="003725B6" w:rsidP="003725B6">
            <w:r w:rsidRPr="003725B6">
              <w:rPr>
                <w:b/>
                <w:bCs/>
              </w:rPr>
              <w:t>Norma Principal (CPC/IFRS)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EF9D2" w14:textId="77777777" w:rsidR="003725B6" w:rsidRPr="003725B6" w:rsidRDefault="003725B6" w:rsidP="003725B6">
            <w:r w:rsidRPr="003725B6">
              <w:rPr>
                <w:b/>
                <w:bCs/>
              </w:rPr>
              <w:t>Principais Indicadores Analíticos</w:t>
            </w:r>
          </w:p>
        </w:tc>
      </w:tr>
      <w:tr w:rsidR="003725B6" w:rsidRPr="003725B6" w14:paraId="059F6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2F099" w14:textId="77777777" w:rsidR="003725B6" w:rsidRPr="003725B6" w:rsidRDefault="003725B6" w:rsidP="003725B6">
            <w:r w:rsidRPr="003725B6">
              <w:t>Balanço Patrimonial (BP)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0E6D" w14:textId="77777777" w:rsidR="003725B6" w:rsidRPr="003725B6" w:rsidRDefault="003725B6" w:rsidP="003725B6">
            <w:r w:rsidRPr="003725B6">
              <w:t>Apresentar a posição financeira e patrimonial em uma data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73459" w14:textId="77777777" w:rsidR="003725B6" w:rsidRPr="003725B6" w:rsidRDefault="003725B6" w:rsidP="003725B6">
            <w:r w:rsidRPr="003725B6">
              <w:t>Ativo (Circulante/Não Circulante), Passivo (Circulante/Não Circulante), Patrimônio Líquido.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048D9" w14:textId="77777777" w:rsidR="003725B6" w:rsidRPr="003725B6" w:rsidRDefault="003725B6" w:rsidP="003725B6">
            <w:r w:rsidRPr="003725B6">
              <w:t>CPC 26 / IAS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772E5" w14:textId="77777777" w:rsidR="003725B6" w:rsidRPr="003725B6" w:rsidRDefault="003725B6" w:rsidP="003725B6">
            <w:r w:rsidRPr="003725B6">
              <w:t>Índices de Liquidez, Estrutura de Capital, Endividamento.</w:t>
            </w:r>
          </w:p>
        </w:tc>
      </w:tr>
      <w:tr w:rsidR="003725B6" w:rsidRPr="003725B6" w14:paraId="2742F9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112C9" w14:textId="77777777" w:rsidR="003725B6" w:rsidRPr="003725B6" w:rsidRDefault="003725B6" w:rsidP="003725B6">
            <w:r w:rsidRPr="003725B6">
              <w:t>Demonstração do Resultado do Exercício (DRE)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A876E" w14:textId="77777777" w:rsidR="003725B6" w:rsidRPr="003725B6" w:rsidRDefault="003725B6" w:rsidP="003725B6">
            <w:r w:rsidRPr="003725B6">
              <w:t>Apurar o resultado econômico (lucro/prejuízo) de um período.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A5BB5" w14:textId="77777777" w:rsidR="003725B6" w:rsidRPr="003725B6" w:rsidRDefault="003725B6" w:rsidP="003725B6">
            <w:r w:rsidRPr="003725B6">
              <w:t>Receita Bruta, Deduções, Custo, Despesas Operacionais, Resultado Financeiro, Impostos, Lucro Líquido.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CF2F0" w14:textId="77777777" w:rsidR="003725B6" w:rsidRPr="003725B6" w:rsidRDefault="003725B6" w:rsidP="003725B6">
            <w:r w:rsidRPr="003725B6">
              <w:t>CPC 26 / IAS 1 / IFRS 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0C644" w14:textId="77777777" w:rsidR="003725B6" w:rsidRPr="003725B6" w:rsidRDefault="003725B6" w:rsidP="003725B6">
            <w:r w:rsidRPr="003725B6">
              <w:t>Margens de Lucratividade (Bruta, Operacional, Líquida), EBITDA, Lucro por Ação.</w:t>
            </w:r>
          </w:p>
        </w:tc>
      </w:tr>
      <w:tr w:rsidR="003725B6" w:rsidRPr="003725B6" w14:paraId="7BE617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69BF8" w14:textId="77777777" w:rsidR="003725B6" w:rsidRPr="003725B6" w:rsidRDefault="003725B6" w:rsidP="003725B6">
            <w:r w:rsidRPr="003725B6">
              <w:t>Demonstração do Fluxo de Caixa (DFC)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A5928" w14:textId="77777777" w:rsidR="003725B6" w:rsidRPr="003725B6" w:rsidRDefault="003725B6" w:rsidP="003725B6">
            <w:r w:rsidRPr="003725B6">
              <w:t>Evidenciar as movimentações de caixa e equivalentes, segregadas por atividade.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B01C4" w14:textId="77777777" w:rsidR="003725B6" w:rsidRPr="003725B6" w:rsidRDefault="003725B6" w:rsidP="003725B6">
            <w:r w:rsidRPr="003725B6">
              <w:t>Fluxos das Atividades Operacionais, de Investimento e de Financiamento.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F7273" w14:textId="77777777" w:rsidR="003725B6" w:rsidRPr="003725B6" w:rsidRDefault="003725B6" w:rsidP="003725B6">
            <w:r w:rsidRPr="003725B6">
              <w:t>CPC 03 / IAS 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69319" w14:textId="77777777" w:rsidR="003725B6" w:rsidRPr="003725B6" w:rsidRDefault="003725B6" w:rsidP="003725B6">
            <w:r w:rsidRPr="003725B6">
              <w:t>Geração de Caixa Operacional, Fluxo de Caixa Livre, Cobertura de Dívida.</w:t>
            </w:r>
          </w:p>
        </w:tc>
      </w:tr>
      <w:tr w:rsidR="003725B6" w:rsidRPr="003725B6" w14:paraId="71527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E69DF" w14:textId="77777777" w:rsidR="003725B6" w:rsidRPr="003725B6" w:rsidRDefault="003725B6" w:rsidP="003725B6">
            <w:r w:rsidRPr="003725B6">
              <w:t>Demonstração das Mutações do Patrimônio Líquido (DMPL)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07AC9" w14:textId="77777777" w:rsidR="003725B6" w:rsidRPr="003725B6" w:rsidRDefault="003725B6" w:rsidP="003725B6">
            <w:r w:rsidRPr="003725B6">
              <w:t>Detalhar a variação de todas as contas do Patrimônio Líquido durante o período.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344A3" w14:textId="77777777" w:rsidR="003725B6" w:rsidRPr="003725B6" w:rsidRDefault="003725B6" w:rsidP="003725B6">
            <w:r w:rsidRPr="003725B6">
              <w:t>Saldos Iniciais, Aumentos/Reduções de Capital, Reservas, Ajustes, Lucro/Prejuízo, Saldos Finais.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1653" w14:textId="77777777" w:rsidR="003725B6" w:rsidRPr="003725B6" w:rsidRDefault="003725B6" w:rsidP="003725B6">
            <w:r w:rsidRPr="003725B6">
              <w:t>CPC 26 / IAS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E6AC2" w14:textId="77777777" w:rsidR="003725B6" w:rsidRPr="003725B6" w:rsidRDefault="003725B6" w:rsidP="003725B6">
            <w:r w:rsidRPr="003725B6">
              <w:t>Análise da Destinação do Lucro, Variação do Capital Próprio.</w:t>
            </w:r>
          </w:p>
        </w:tc>
      </w:tr>
      <w:tr w:rsidR="003725B6" w:rsidRPr="003725B6" w14:paraId="2D344E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66672" w14:textId="77777777" w:rsidR="003725B6" w:rsidRPr="003725B6" w:rsidRDefault="003725B6" w:rsidP="003725B6">
            <w:r w:rsidRPr="003725B6">
              <w:t>Demonstração do Valor Adicionado (DVA)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4DBB0" w14:textId="77777777" w:rsidR="003725B6" w:rsidRPr="003725B6" w:rsidRDefault="003725B6" w:rsidP="003725B6">
            <w:r w:rsidRPr="003725B6">
              <w:t>Demonstrar a riqueza gerada pela entidade e sua distribuição à sociedade.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CB23A" w14:textId="77777777" w:rsidR="003725B6" w:rsidRPr="003725B6" w:rsidRDefault="003725B6" w:rsidP="003725B6">
            <w:r w:rsidRPr="003725B6">
              <w:t>Geração de Riqueza (Receitas, Insumos), Distribuição (Pessoal, Governo, Terceiros, Capital Próprio).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E29E6" w14:textId="77777777" w:rsidR="003725B6" w:rsidRPr="003725B6" w:rsidRDefault="003725B6" w:rsidP="003725B6">
            <w:r w:rsidRPr="003725B6">
              <w:t>CPC 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A1355" w14:textId="77777777" w:rsidR="003725B6" w:rsidRPr="003725B6" w:rsidRDefault="003725B6" w:rsidP="003725B6">
            <w:r w:rsidRPr="003725B6">
              <w:t>Participação dos Empregados na Riqueza, Carga Tributária Efetiva.</w:t>
            </w:r>
          </w:p>
        </w:tc>
      </w:tr>
    </w:tbl>
    <w:p w14:paraId="4AC33E58" w14:textId="77777777" w:rsidR="003725B6" w:rsidRPr="003725B6" w:rsidRDefault="003725B6" w:rsidP="003725B6">
      <w:pPr>
        <w:rPr>
          <w:b/>
          <w:bCs/>
        </w:rPr>
      </w:pPr>
      <w:r w:rsidRPr="003725B6">
        <w:rPr>
          <w:b/>
          <w:bCs/>
        </w:rPr>
        <w:t>Parte II: O Labirinto Regulatório Nacional - O Sistema Tributário Brasileiro</w:t>
      </w:r>
    </w:p>
    <w:p w14:paraId="3F3B94AE" w14:textId="77777777" w:rsidR="003725B6" w:rsidRPr="003725B6" w:rsidRDefault="003725B6" w:rsidP="003725B6">
      <w:r w:rsidRPr="003725B6">
        <w:t>Esta parte detalha a expertise necessária para que o agente navegue em um dos ambientes fiscais mais complexos do mundo. O domínio aqui não se resume a conhecer os tributos, mas a compreender o intrincado sistema de regimes, obrigações acessórias e o estado de constante transformação representado pela reforma tributária em curso.</w:t>
      </w:r>
    </w:p>
    <w:p w14:paraId="6BC3A176" w14:textId="77777777" w:rsidR="003725B6" w:rsidRPr="003725B6" w:rsidRDefault="003725B6" w:rsidP="003725B6">
      <w:pPr>
        <w:rPr>
          <w:b/>
          <w:bCs/>
        </w:rPr>
      </w:pPr>
      <w:r w:rsidRPr="003725B6">
        <w:rPr>
          <w:b/>
          <w:bCs/>
        </w:rPr>
        <w:t>Seção 2.1: Estrutura do Sistema Tributário Nacional: Competências, Princípios e Complexidade</w:t>
      </w:r>
    </w:p>
    <w:p w14:paraId="4B162C4B" w14:textId="77777777" w:rsidR="003725B6" w:rsidRPr="003725B6" w:rsidRDefault="003725B6" w:rsidP="003725B6">
      <w:r w:rsidRPr="003725B6">
        <w:t>Para operar no Brasil, o agente deve, antes de tudo, compreender a arquitetura fundamental do sistema tributário.</w:t>
      </w:r>
    </w:p>
    <w:p w14:paraId="2CAE1FF9" w14:textId="77777777" w:rsidR="003725B6" w:rsidRPr="003725B6" w:rsidRDefault="003725B6" w:rsidP="003725B6">
      <w:pPr>
        <w:rPr>
          <w:b/>
          <w:bCs/>
        </w:rPr>
      </w:pPr>
      <w:r w:rsidRPr="003725B6">
        <w:rPr>
          <w:b/>
          <w:bCs/>
        </w:rPr>
        <w:t>Estrutura Federativa</w:t>
      </w:r>
    </w:p>
    <w:p w14:paraId="2F0D6E6C" w14:textId="77777777" w:rsidR="003725B6" w:rsidRPr="003725B6" w:rsidRDefault="003725B6" w:rsidP="003725B6">
      <w:r w:rsidRPr="003725B6">
        <w:t>O sistema tributário brasileiro é caracterizado por uma divisão de competências entre três esferas de governo: União, Estados (e Distrito Federal) e Municípios.</w:t>
      </w:r>
      <w:r w:rsidRPr="003725B6">
        <w:rPr>
          <w:vertAlign w:val="superscript"/>
        </w:rPr>
        <w:t>33</w:t>
      </w:r>
      <w:r w:rsidRPr="003725B6">
        <w:t xml:space="preserve"> Cada ente federativo tem o poder de instituir e arrecadar seus próprios tributos. Essa estrutura descentralizada é a origem de muitas das complexidades do sistema, como a notória "guerra fiscal" entre os estados, onde benefícios fiscais de ICMS são concedidos para atrair investimentos, gerando distorções econômicas.</w:t>
      </w:r>
      <w:r w:rsidRPr="003725B6">
        <w:rPr>
          <w:vertAlign w:val="superscript"/>
        </w:rPr>
        <w:t>35</w:t>
      </w:r>
    </w:p>
    <w:p w14:paraId="3151EC58" w14:textId="77777777" w:rsidR="003725B6" w:rsidRPr="003725B6" w:rsidRDefault="003725B6" w:rsidP="003725B6">
      <w:pPr>
        <w:rPr>
          <w:b/>
          <w:bCs/>
        </w:rPr>
      </w:pPr>
      <w:r w:rsidRPr="003725B6">
        <w:rPr>
          <w:b/>
          <w:bCs/>
        </w:rPr>
        <w:t>Princípios e Complexidade</w:t>
      </w:r>
    </w:p>
    <w:p w14:paraId="2EE4ADE8" w14:textId="77777777" w:rsidR="003725B6" w:rsidRPr="003725B6" w:rsidRDefault="003725B6" w:rsidP="003725B6">
      <w:r w:rsidRPr="003725B6">
        <w:t>Idealmente, um sistema tributário deve ser orientado por princípios de equidade, neutralidade e simplicidade.</w:t>
      </w:r>
      <w:r w:rsidRPr="003725B6">
        <w:rPr>
          <w:vertAlign w:val="superscript"/>
        </w:rPr>
        <w:t>34</w:t>
      </w:r>
      <w:r w:rsidRPr="003725B6">
        <w:t xml:space="preserve"> No entanto, o sistema brasileiro é mundialmente reconhecido por sua extrema complexidade e falta de clareza. O agente deve internalizar a magnitude desse desafio: desde 1988, foram editadas, em média, 37 normas tributárias por dia útil, resultando em um custo de conformidade (compliance) para as empresas estimado em R$ 181 bilhões anuais.</w:t>
      </w:r>
      <w:r w:rsidRPr="003725B6">
        <w:rPr>
          <w:vertAlign w:val="superscript"/>
        </w:rPr>
        <w:t>34</w:t>
      </w:r>
      <w:r w:rsidRPr="003725B6">
        <w:t xml:space="preserve"> Essa complexidade gera insegurança jurídica e um alto volume de contencioso tributário.</w:t>
      </w:r>
    </w:p>
    <w:p w14:paraId="15F07121" w14:textId="77777777" w:rsidR="003725B6" w:rsidRPr="003725B6" w:rsidRDefault="003725B6" w:rsidP="003725B6">
      <w:pPr>
        <w:rPr>
          <w:b/>
          <w:bCs/>
        </w:rPr>
      </w:pPr>
      <w:r w:rsidRPr="003725B6">
        <w:rPr>
          <w:b/>
          <w:bCs/>
        </w:rPr>
        <w:t>Espécies Tributárias</w:t>
      </w:r>
    </w:p>
    <w:p w14:paraId="4430BC48" w14:textId="77777777" w:rsidR="003725B6" w:rsidRPr="003725B6" w:rsidRDefault="003725B6" w:rsidP="003725B6">
      <w:r w:rsidRPr="003725B6">
        <w:t>O sistema é composto por três espécies de tributos: impostos, taxas e contribuições de melhoria.</w:t>
      </w:r>
      <w:r w:rsidRPr="003725B6">
        <w:rPr>
          <w:vertAlign w:val="superscript"/>
        </w:rPr>
        <w:t>36</w:t>
      </w:r>
      <w:r w:rsidRPr="003725B6">
        <w:t xml:space="preserve"> O agente deve ser capaz de diferenciar claramente essas categorias, pois suas finalidades e regras de instituição são distintas.</w:t>
      </w:r>
    </w:p>
    <w:p w14:paraId="1CB3DFF7" w14:textId="77777777" w:rsidR="003725B6" w:rsidRPr="003725B6" w:rsidRDefault="003725B6" w:rsidP="003725B6">
      <w:pPr>
        <w:rPr>
          <w:b/>
          <w:bCs/>
        </w:rPr>
      </w:pPr>
      <w:r w:rsidRPr="003725B6">
        <w:rPr>
          <w:b/>
          <w:bCs/>
        </w:rPr>
        <w:t>Seção 2.2: Regimes de Tributação de Pessoas Jurídicas: Simples Nacional, Lucro Presumido e Lucro Real</w:t>
      </w:r>
    </w:p>
    <w:p w14:paraId="3BA3B6FC" w14:textId="77777777" w:rsidR="003725B6" w:rsidRPr="003725B6" w:rsidRDefault="003725B6" w:rsidP="003725B6">
      <w:r w:rsidRPr="003725B6">
        <w:t>A escolha do regime de tributação é uma das decisões mais críticas para qualquer empresa no Brasil. O agente deve ser capaz de analisar o perfil de uma empresa e determinar o enquadramento mais vantajoso.</w:t>
      </w:r>
    </w:p>
    <w:p w14:paraId="12AFBA7D" w14:textId="77777777" w:rsidR="003725B6" w:rsidRPr="003725B6" w:rsidRDefault="003725B6" w:rsidP="003725B6">
      <w:pPr>
        <w:numPr>
          <w:ilvl w:val="0"/>
          <w:numId w:val="2"/>
        </w:numPr>
      </w:pPr>
      <w:r w:rsidRPr="003725B6">
        <w:rPr>
          <w:b/>
          <w:bCs/>
        </w:rPr>
        <w:t>Simples Nacional:</w:t>
      </w:r>
      <w:r w:rsidRPr="003725B6">
        <w:t xml:space="preserve"> Um regime simplificado e unificado, destinado a microempresas (ME) e empresas de pequeno porte (EPP) com faturamento anual de até R$ 4,8 milhões.</w:t>
      </w:r>
      <w:r w:rsidRPr="003725B6">
        <w:rPr>
          <w:vertAlign w:val="superscript"/>
        </w:rPr>
        <w:t>37</w:t>
      </w:r>
      <w:r w:rsidRPr="003725B6">
        <w:t xml:space="preserve"> Ele consolida diversos tributos federais, estaduais e municipais (como IRPJ, CSLL, PIS, COFINS, IPI, ICMS, ISS e CPP) em uma única guia de recolhimento, o Documento de Arrecadação do Simples Nacional (DAS).</w:t>
      </w:r>
      <w:r w:rsidRPr="003725B6">
        <w:rPr>
          <w:vertAlign w:val="superscript"/>
        </w:rPr>
        <w:t>38</w:t>
      </w:r>
      <w:r w:rsidRPr="003725B6">
        <w:t xml:space="preserve"> O agente precisa dominar os critérios de elegibilidade e as alíquotas progressivas, que variam conforme as faixas de faturamento e os anexos de atividades.</w:t>
      </w:r>
    </w:p>
    <w:p w14:paraId="7A92182F" w14:textId="77777777" w:rsidR="003725B6" w:rsidRPr="003725B6" w:rsidRDefault="003725B6" w:rsidP="003725B6">
      <w:pPr>
        <w:numPr>
          <w:ilvl w:val="0"/>
          <w:numId w:val="2"/>
        </w:numPr>
      </w:pPr>
      <w:r w:rsidRPr="003725B6">
        <w:rPr>
          <w:b/>
          <w:bCs/>
        </w:rPr>
        <w:t>Lucro Presumido:</w:t>
      </w:r>
      <w:r w:rsidRPr="003725B6">
        <w:t xml:space="preserve"> Adequado para empresas com faturamento anual de até R$ 78 milhões, este regime simplifica a apuração do Imposto de Renda Pessoa Jurídica (IRPJ) e da Contribuição Social sobre o Lucro Líquido (CSLL).</w:t>
      </w:r>
      <w:r w:rsidRPr="003725B6">
        <w:rPr>
          <w:vertAlign w:val="superscript"/>
        </w:rPr>
        <w:t>37</w:t>
      </w:r>
      <w:r w:rsidRPr="003725B6">
        <w:t xml:space="preserve"> Em vez de apurar o lucro contábil real, a base de cálculo é uma margem de lucro pré-fixada por lei, que varia de acordo com a atividade da empresa (por exemplo, 8% para comércio e 32% para a maioria dos serviços).</w:t>
      </w:r>
      <w:r w:rsidRPr="003725B6">
        <w:rPr>
          <w:vertAlign w:val="superscript"/>
        </w:rPr>
        <w:t>38</w:t>
      </w:r>
      <w:r w:rsidRPr="003725B6">
        <w:t xml:space="preserve"> O agente deve dominar essas alíquotas de presunção. Neste regime, as contribuições para o PIS e a COFINS são apuradas pelo regime cumulativo.</w:t>
      </w:r>
      <w:r w:rsidRPr="003725B6">
        <w:rPr>
          <w:vertAlign w:val="superscript"/>
        </w:rPr>
        <w:t>38</w:t>
      </w:r>
    </w:p>
    <w:p w14:paraId="51B6CDEA" w14:textId="77777777" w:rsidR="003725B6" w:rsidRPr="003725B6" w:rsidRDefault="003725B6" w:rsidP="003725B6">
      <w:pPr>
        <w:numPr>
          <w:ilvl w:val="0"/>
          <w:numId w:val="2"/>
        </w:numPr>
      </w:pPr>
      <w:r w:rsidRPr="003725B6">
        <w:rPr>
          <w:b/>
          <w:bCs/>
        </w:rPr>
        <w:t>Lucro Real:</w:t>
      </w:r>
      <w:r w:rsidRPr="003725B6">
        <w:t xml:space="preserve"> Obrigatório para empresas com faturamento superior a R$ 78 milhões e para determinados setores (como instituições financeiras), este é o regime mais complexo.</w:t>
      </w:r>
      <w:r w:rsidRPr="003725B6">
        <w:rPr>
          <w:vertAlign w:val="superscript"/>
        </w:rPr>
        <w:t>38</w:t>
      </w:r>
      <w:r w:rsidRPr="003725B6">
        <w:t xml:space="preserve"> O IRPJ e a CSLL são calculados com base no lucro contábil real, ajustado por adições, exclusões e compensações previstas na legislação fiscal.</w:t>
      </w:r>
      <w:r w:rsidRPr="003725B6">
        <w:rPr>
          <w:vertAlign w:val="superscript"/>
        </w:rPr>
        <w:t>38</w:t>
      </w:r>
      <w:r w:rsidRPr="003725B6">
        <w:t xml:space="preserve"> Uma característica fundamental é que o PIS e a COFINS são apurados pelo regime não cumulativo, o que permite o aproveitamento de créditos sobre diversas despesas, reduzindo o valor a pagar.</w:t>
      </w:r>
      <w:r w:rsidRPr="003725B6">
        <w:rPr>
          <w:vertAlign w:val="superscript"/>
        </w:rPr>
        <w:t>41</w:t>
      </w:r>
      <w:r w:rsidRPr="003725B6">
        <w:t xml:space="preserve"> Este regime exige uma contabilidade extremamente rigorosa e detalhada.</w:t>
      </w:r>
      <w:r w:rsidRPr="003725B6">
        <w:rPr>
          <w:vertAlign w:val="superscript"/>
        </w:rPr>
        <w:t>37</w:t>
      </w:r>
    </w:p>
    <w:p w14:paraId="6D067A2C" w14:textId="77777777" w:rsidR="003725B6" w:rsidRPr="003725B6" w:rsidRDefault="003725B6" w:rsidP="003725B6">
      <w:pPr>
        <w:rPr>
          <w:b/>
          <w:bCs/>
        </w:rPr>
      </w:pPr>
      <w:r w:rsidRPr="003725B6">
        <w:rPr>
          <w:b/>
          <w:bCs/>
        </w:rPr>
        <w:t>Seção 2.3: Tributos Federais: IRPJ, CSLL, PIS, COFINS e IPI - Cálculo e Conformidade</w:t>
      </w:r>
    </w:p>
    <w:p w14:paraId="2C89E6F7" w14:textId="77777777" w:rsidR="003725B6" w:rsidRPr="003725B6" w:rsidRDefault="003725B6" w:rsidP="003725B6">
      <w:r w:rsidRPr="003725B6">
        <w:t>O agente deve ter proficiência no cálculo e na apuração dos principais tributos federais, que formam a maior parte da carga tributária brasileira.</w:t>
      </w:r>
    </w:p>
    <w:p w14:paraId="416E6AAC" w14:textId="77777777" w:rsidR="003725B6" w:rsidRPr="003725B6" w:rsidRDefault="003725B6" w:rsidP="003725B6">
      <w:pPr>
        <w:numPr>
          <w:ilvl w:val="0"/>
          <w:numId w:val="3"/>
        </w:numPr>
      </w:pPr>
      <w:r w:rsidRPr="003725B6">
        <w:rPr>
          <w:b/>
          <w:bCs/>
        </w:rPr>
        <w:t>IRPJ e CSLL:</w:t>
      </w:r>
      <w:r w:rsidRPr="003725B6">
        <w:t xml:space="preserve"> O cálculo destes tributos é a principal diferença entre os regimes. No Lucro Real, as alíquotas de 15% para IRPJ (com adicional de 10% sobre o lucro que exceder R$ 20.000/mês) e 9% para CSLL incidem sobre o lucro real ajustado.</w:t>
      </w:r>
      <w:r w:rsidRPr="003725B6">
        <w:rPr>
          <w:vertAlign w:val="superscript"/>
        </w:rPr>
        <w:t>43</w:t>
      </w:r>
      <w:r w:rsidRPr="003725B6">
        <w:t xml:space="preserve"> No Lucro Presumido, essas mesmas alíquotas incidem sobre a base de cálculo presumida, que é um percentual da receita bruta.</w:t>
      </w:r>
      <w:r w:rsidRPr="003725B6">
        <w:rPr>
          <w:vertAlign w:val="superscript"/>
        </w:rPr>
        <w:t>40</w:t>
      </w:r>
    </w:p>
    <w:p w14:paraId="43FF1343" w14:textId="77777777" w:rsidR="003725B6" w:rsidRPr="003725B6" w:rsidRDefault="003725B6" w:rsidP="003725B6">
      <w:pPr>
        <w:numPr>
          <w:ilvl w:val="0"/>
          <w:numId w:val="3"/>
        </w:numPr>
      </w:pPr>
      <w:r w:rsidRPr="003725B6">
        <w:rPr>
          <w:b/>
          <w:bCs/>
        </w:rPr>
        <w:t>PIS e COFINS:</w:t>
      </w:r>
      <w:r w:rsidRPr="003725B6">
        <w:t xml:space="preserve"> O domínio da sistemática do PIS e da COFINS é crucial. O agente deve diferenciar perfeitamente o regime cumulativo (aplicável ao Lucro Presumido, com alíquotas de 0,65% e 3%, respectivamente) do regime não cumulativo (aplicável ao Lucro Real, com alíquotas de 1,65% e 7,6%).</w:t>
      </w:r>
      <w:r w:rsidRPr="003725B6">
        <w:rPr>
          <w:vertAlign w:val="superscript"/>
        </w:rPr>
        <w:t>41</w:t>
      </w:r>
      <w:r w:rsidRPr="003725B6">
        <w:t xml:space="preserve"> No regime não cumulativo, a principal complexidade reside na identificação e no aproveitamento dos créditos permitidos por lei, que podem ser gerados na aquisição de bens, insumos, energia elétrica, aluguéis, entre outros.</w:t>
      </w:r>
      <w:r w:rsidRPr="003725B6">
        <w:rPr>
          <w:vertAlign w:val="superscript"/>
        </w:rPr>
        <w:t>45</w:t>
      </w:r>
    </w:p>
    <w:p w14:paraId="2B92D5D2" w14:textId="77777777" w:rsidR="003725B6" w:rsidRPr="003725B6" w:rsidRDefault="003725B6" w:rsidP="003725B6">
      <w:pPr>
        <w:numPr>
          <w:ilvl w:val="0"/>
          <w:numId w:val="3"/>
        </w:numPr>
      </w:pPr>
      <w:r w:rsidRPr="003725B6">
        <w:rPr>
          <w:b/>
          <w:bCs/>
        </w:rPr>
        <w:t>IPI (Imposto sobre Produtos Industrializados):</w:t>
      </w:r>
      <w:r w:rsidRPr="003725B6">
        <w:t xml:space="preserve"> O agente deve compreender o IPI como um tributo federal que incide sobre produtos industrializados (nacionais ou importados).</w:t>
      </w:r>
      <w:r w:rsidRPr="003725B6">
        <w:rPr>
          <w:vertAlign w:val="superscript"/>
        </w:rPr>
        <w:t>46</w:t>
      </w:r>
      <w:r w:rsidRPr="003725B6">
        <w:t xml:space="preserve"> O cálculo é baseado na Tabela de Incidência do IPI (TIPI), que associa alíquotas específicas a cada código da Nomenclatura Comum do Mercosul (NCM) do produto.</w:t>
      </w:r>
      <w:r w:rsidRPr="003725B6">
        <w:rPr>
          <w:vertAlign w:val="superscript"/>
        </w:rPr>
        <w:t>47</w:t>
      </w:r>
    </w:p>
    <w:p w14:paraId="3B21A305" w14:textId="77777777" w:rsidR="003725B6" w:rsidRPr="003725B6" w:rsidRDefault="003725B6" w:rsidP="003725B6">
      <w:pPr>
        <w:rPr>
          <w:b/>
          <w:bCs/>
        </w:rPr>
      </w:pPr>
      <w:r w:rsidRPr="003725B6">
        <w:rPr>
          <w:b/>
          <w:bCs/>
        </w:rPr>
        <w:t>Seção 2.4: Tributos Estaduais e Municipais: A Dinâmica do ICMS e do ISS</w:t>
      </w:r>
    </w:p>
    <w:p w14:paraId="1477C678" w14:textId="77777777" w:rsidR="003725B6" w:rsidRPr="003725B6" w:rsidRDefault="003725B6" w:rsidP="003725B6">
      <w:r w:rsidRPr="003725B6">
        <w:t>A complexidade tributária se intensifica nos níveis subnacionais, exigindo do agente um conhecimento detalhado e atualizado das legislações estaduais e municipais.</w:t>
      </w:r>
    </w:p>
    <w:p w14:paraId="5205A04A" w14:textId="77777777" w:rsidR="003725B6" w:rsidRPr="003725B6" w:rsidRDefault="003725B6" w:rsidP="003725B6">
      <w:pPr>
        <w:numPr>
          <w:ilvl w:val="0"/>
          <w:numId w:val="4"/>
        </w:numPr>
      </w:pPr>
      <w:r w:rsidRPr="003725B6">
        <w:rPr>
          <w:b/>
          <w:bCs/>
        </w:rPr>
        <w:t>ICMS (Imposto sobre Circulação de Mercadorias e Serviços):</w:t>
      </w:r>
      <w:r w:rsidRPr="003725B6">
        <w:t xml:space="preserve"> Este é um dos tributos mais complexos do mundo. O agente deve saber que o ICMS é de competência estadual e incide sobre a circulação de mercadorias e serviços de transporte interestadual/intermunicipal e de comunicação.</w:t>
      </w:r>
      <w:r w:rsidRPr="003725B6">
        <w:rPr>
          <w:vertAlign w:val="superscript"/>
        </w:rPr>
        <w:t>48</w:t>
      </w:r>
      <w:r w:rsidRPr="003725B6">
        <w:t xml:space="preserve"> Seu domínio requer:</w:t>
      </w:r>
    </w:p>
    <w:p w14:paraId="3CE327A7" w14:textId="77777777" w:rsidR="003725B6" w:rsidRPr="003725B6" w:rsidRDefault="003725B6" w:rsidP="003725B6">
      <w:pPr>
        <w:numPr>
          <w:ilvl w:val="1"/>
          <w:numId w:val="4"/>
        </w:numPr>
      </w:pPr>
      <w:r w:rsidRPr="003725B6">
        <w:rPr>
          <w:b/>
          <w:bCs/>
        </w:rPr>
        <w:t>Conhecimento Legislativo:</w:t>
      </w:r>
      <w:r w:rsidRPr="003725B6">
        <w:t xml:space="preserve"> Entender que, embora exista uma lei complementar federal (Lei Kandir - LC 87/96), cada um dos 26 estados e o Distrito Federal possui sua própria legislação e regulamento (RICMS).</w:t>
      </w:r>
      <w:r w:rsidRPr="003725B6">
        <w:rPr>
          <w:vertAlign w:val="superscript"/>
        </w:rPr>
        <w:t>48</w:t>
      </w:r>
    </w:p>
    <w:p w14:paraId="7174F34D" w14:textId="77777777" w:rsidR="003725B6" w:rsidRPr="003725B6" w:rsidRDefault="003725B6" w:rsidP="003725B6">
      <w:pPr>
        <w:numPr>
          <w:ilvl w:val="1"/>
          <w:numId w:val="4"/>
        </w:numPr>
      </w:pPr>
      <w:r w:rsidRPr="003725B6">
        <w:rPr>
          <w:b/>
          <w:bCs/>
        </w:rPr>
        <w:t>Domínio das Alíquotas:</w:t>
      </w:r>
      <w:r w:rsidRPr="003725B6">
        <w:t xml:space="preserve"> Conhecer as alíquotas internas de cada estado (que geralmente variam de 17% a 22%) e as alíquotas interestaduais (7% ou 12%, dependendo da região de destino), além de dominar o cálculo do Diferencial de Alíquotas (DIFAL).</w:t>
      </w:r>
      <w:r w:rsidRPr="003725B6">
        <w:rPr>
          <w:vertAlign w:val="superscript"/>
        </w:rPr>
        <w:t>52</w:t>
      </w:r>
    </w:p>
    <w:p w14:paraId="2EA6D5AC" w14:textId="77777777" w:rsidR="003725B6" w:rsidRPr="003725B6" w:rsidRDefault="003725B6" w:rsidP="003725B6">
      <w:pPr>
        <w:numPr>
          <w:ilvl w:val="1"/>
          <w:numId w:val="4"/>
        </w:numPr>
      </w:pPr>
      <w:r w:rsidRPr="003725B6">
        <w:rPr>
          <w:b/>
          <w:bCs/>
        </w:rPr>
        <w:t>Cálculos Complexos:</w:t>
      </w:r>
      <w:r w:rsidRPr="003725B6">
        <w:t xml:space="preserve"> Ser proficiente no "cálculo por dentro", onde o valor do imposto compõe sua própria base de cálculo, e no mecanismo da Substituição Tributária (ICMS-ST), no qual a responsabilidade pelo recolhimento do imposto de toda a cadeia produtiva é atribuída a um único contribuinte (geralmente o fabricante ou importador).</w:t>
      </w:r>
      <w:r w:rsidRPr="003725B6">
        <w:rPr>
          <w:vertAlign w:val="superscript"/>
        </w:rPr>
        <w:t>53</w:t>
      </w:r>
    </w:p>
    <w:p w14:paraId="515FF556" w14:textId="77777777" w:rsidR="003725B6" w:rsidRPr="003725B6" w:rsidRDefault="003725B6" w:rsidP="003725B6">
      <w:pPr>
        <w:numPr>
          <w:ilvl w:val="0"/>
          <w:numId w:val="4"/>
        </w:numPr>
      </w:pPr>
      <w:r w:rsidRPr="003725B6">
        <w:rPr>
          <w:b/>
          <w:bCs/>
        </w:rPr>
        <w:t>ISS (Imposto Sobre Serviços):</w:t>
      </w:r>
      <w:r w:rsidRPr="003725B6">
        <w:t xml:space="preserve"> Este é um tributo de competência municipal, regido pela Lei Complementar 116/2003, que incide sobre a prestação de serviços listados na referida lei.</w:t>
      </w:r>
      <w:r w:rsidRPr="003725B6">
        <w:rPr>
          <w:vertAlign w:val="superscript"/>
        </w:rPr>
        <w:t>55</w:t>
      </w:r>
      <w:r w:rsidRPr="003725B6">
        <w:t xml:space="preserve"> O agente deve saber que as alíquotas variam de 2% a 5%, a critério de cada um dos mais de 5.500 municípios brasileiros.</w:t>
      </w:r>
      <w:r w:rsidRPr="003725B6">
        <w:rPr>
          <w:vertAlign w:val="superscript"/>
        </w:rPr>
        <w:t>55</w:t>
      </w:r>
      <w:r w:rsidRPr="003725B6">
        <w:t xml:space="preserve"> Uma mudança crucial que o agente deve dominar é a alteração da regra de recolhimento para muitos serviços, que passou do município do prestador (origem) para o município do tomador (destino), criando um desafio de conformidade significativo.</w:t>
      </w:r>
      <w:r w:rsidRPr="003725B6">
        <w:rPr>
          <w:vertAlign w:val="superscript"/>
        </w:rPr>
        <w:t>58</w:t>
      </w:r>
    </w:p>
    <w:p w14:paraId="6953B384" w14:textId="77777777" w:rsidR="003725B6" w:rsidRPr="003725B6" w:rsidRDefault="003725B6" w:rsidP="003725B6">
      <w:pPr>
        <w:rPr>
          <w:b/>
          <w:bCs/>
        </w:rPr>
      </w:pPr>
      <w:r w:rsidRPr="003725B6">
        <w:rPr>
          <w:b/>
          <w:bCs/>
        </w:rPr>
        <w:t>Seção 2.5: A Teia de Obrigações Acessórias: SPED, DCTF e o Ambiente Fiscal Digital</w:t>
      </w:r>
    </w:p>
    <w:p w14:paraId="4B1AAF89" w14:textId="77777777" w:rsidR="003725B6" w:rsidRPr="003725B6" w:rsidRDefault="003725B6" w:rsidP="003725B6">
      <w:r w:rsidRPr="003725B6">
        <w:t>Além do pagamento dos tributos (obrigação principal), as empresas brasileiras devem cumprir uma vasta gama de obrigações acessórias, que consistem no envio de informações detalhadas ao Fisco.</w:t>
      </w:r>
      <w:r w:rsidRPr="003725B6">
        <w:rPr>
          <w:vertAlign w:val="superscript"/>
        </w:rPr>
        <w:t>59</w:t>
      </w:r>
      <w:r w:rsidRPr="003725B6">
        <w:t xml:space="preserve"> O agente deve ter um conhecimento enciclopédico dessas declarações, seus prazos e formatos.</w:t>
      </w:r>
    </w:p>
    <w:p w14:paraId="59CCF9C7" w14:textId="77777777" w:rsidR="003725B6" w:rsidRPr="003725B6" w:rsidRDefault="003725B6" w:rsidP="003725B6">
      <w:pPr>
        <w:numPr>
          <w:ilvl w:val="0"/>
          <w:numId w:val="5"/>
        </w:numPr>
      </w:pPr>
      <w:r w:rsidRPr="003725B6">
        <w:rPr>
          <w:b/>
          <w:bCs/>
        </w:rPr>
        <w:t>Sistema Público de Escrituração Digital (SPED):</w:t>
      </w:r>
      <w:r w:rsidRPr="003725B6">
        <w:t xml:space="preserve"> O agente deve dominar os diversos módulos do SPED, que digitalizaram a escrituração fiscal e contábil. Os principais são:</w:t>
      </w:r>
    </w:p>
    <w:p w14:paraId="27972D6C" w14:textId="77777777" w:rsidR="003725B6" w:rsidRPr="003725B6" w:rsidRDefault="003725B6" w:rsidP="003725B6">
      <w:pPr>
        <w:numPr>
          <w:ilvl w:val="1"/>
          <w:numId w:val="5"/>
        </w:numPr>
      </w:pPr>
      <w:r w:rsidRPr="003725B6">
        <w:rPr>
          <w:b/>
          <w:bCs/>
        </w:rPr>
        <w:t>EFD Contribuições:</w:t>
      </w:r>
      <w:r w:rsidRPr="003725B6">
        <w:t xml:space="preserve"> Para apuração de PIS e COFINS.</w:t>
      </w:r>
      <w:r w:rsidRPr="003725B6">
        <w:rPr>
          <w:vertAlign w:val="superscript"/>
        </w:rPr>
        <w:t>62</w:t>
      </w:r>
    </w:p>
    <w:p w14:paraId="6DB651D0" w14:textId="77777777" w:rsidR="003725B6" w:rsidRPr="003725B6" w:rsidRDefault="003725B6" w:rsidP="003725B6">
      <w:pPr>
        <w:numPr>
          <w:ilvl w:val="1"/>
          <w:numId w:val="5"/>
        </w:numPr>
      </w:pPr>
      <w:r w:rsidRPr="003725B6">
        <w:rPr>
          <w:b/>
          <w:bCs/>
        </w:rPr>
        <w:t>EFD ICMS/IPI:</w:t>
      </w:r>
      <w:r w:rsidRPr="003725B6">
        <w:t xml:space="preserve"> Para apuração de ICMS e IPI.</w:t>
      </w:r>
      <w:r w:rsidRPr="003725B6">
        <w:rPr>
          <w:vertAlign w:val="superscript"/>
        </w:rPr>
        <w:t>62</w:t>
      </w:r>
    </w:p>
    <w:p w14:paraId="066D80A4" w14:textId="77777777" w:rsidR="003725B6" w:rsidRPr="003725B6" w:rsidRDefault="003725B6" w:rsidP="003725B6">
      <w:pPr>
        <w:numPr>
          <w:ilvl w:val="1"/>
          <w:numId w:val="5"/>
        </w:numPr>
      </w:pPr>
      <w:r w:rsidRPr="003725B6">
        <w:rPr>
          <w:b/>
          <w:bCs/>
        </w:rPr>
        <w:t>ECD (Escrituração Contábil Digital):</w:t>
      </w:r>
      <w:r w:rsidRPr="003725B6">
        <w:t xml:space="preserve"> Substitui os livros contábeis em papel.</w:t>
      </w:r>
      <w:r w:rsidRPr="003725B6">
        <w:rPr>
          <w:vertAlign w:val="superscript"/>
        </w:rPr>
        <w:t>60</w:t>
      </w:r>
    </w:p>
    <w:p w14:paraId="31ECD298" w14:textId="77777777" w:rsidR="003725B6" w:rsidRPr="003725B6" w:rsidRDefault="003725B6" w:rsidP="003725B6">
      <w:pPr>
        <w:numPr>
          <w:ilvl w:val="1"/>
          <w:numId w:val="5"/>
        </w:numPr>
      </w:pPr>
      <w:r w:rsidRPr="003725B6">
        <w:rPr>
          <w:b/>
          <w:bCs/>
        </w:rPr>
        <w:t>ECF (Escrituração Contábil Fiscal):</w:t>
      </w:r>
      <w:r w:rsidRPr="003725B6">
        <w:t xml:space="preserve"> Apresenta informações do IRPJ e da CSLL.</w:t>
      </w:r>
      <w:r w:rsidRPr="003725B6">
        <w:rPr>
          <w:vertAlign w:val="superscript"/>
        </w:rPr>
        <w:t>60</w:t>
      </w:r>
    </w:p>
    <w:p w14:paraId="6557E1D7" w14:textId="77777777" w:rsidR="003725B6" w:rsidRPr="003725B6" w:rsidRDefault="003725B6" w:rsidP="003725B6">
      <w:pPr>
        <w:numPr>
          <w:ilvl w:val="0"/>
          <w:numId w:val="5"/>
        </w:numPr>
      </w:pPr>
      <w:r w:rsidRPr="003725B6">
        <w:rPr>
          <w:b/>
          <w:bCs/>
        </w:rPr>
        <w:t>Declarações Federais:</w:t>
      </w:r>
      <w:r w:rsidRPr="003725B6">
        <w:t xml:space="preserve"> DCTF e DCTFWeb, que informam os débitos e créditos tributários federais </w:t>
      </w:r>
      <w:r w:rsidRPr="003725B6">
        <w:rPr>
          <w:vertAlign w:val="superscript"/>
        </w:rPr>
        <w:t>60</w:t>
      </w:r>
      <w:r w:rsidRPr="003725B6">
        <w:t>; e a DIRF (Declaração do Imposto de Renda Retido na Fonte), embora em processo de substituição.</w:t>
      </w:r>
      <w:r w:rsidRPr="003725B6">
        <w:rPr>
          <w:vertAlign w:val="superscript"/>
        </w:rPr>
        <w:t>60</w:t>
      </w:r>
    </w:p>
    <w:p w14:paraId="777FE006" w14:textId="77777777" w:rsidR="003725B6" w:rsidRPr="003725B6" w:rsidRDefault="003725B6" w:rsidP="003725B6">
      <w:pPr>
        <w:numPr>
          <w:ilvl w:val="0"/>
          <w:numId w:val="5"/>
        </w:numPr>
      </w:pPr>
      <w:r w:rsidRPr="003725B6">
        <w:rPr>
          <w:b/>
          <w:bCs/>
        </w:rPr>
        <w:t>Declarações Estaduais e Municipais:</w:t>
      </w:r>
      <w:r w:rsidRPr="003725B6">
        <w:t xml:space="preserve"> Como a GIA (Guia de Informação e Apuração do ICMS) e o SINTEGRA, embora este último esteja sendo gradualmente substituído pela EFD ICMS/IPI.</w:t>
      </w:r>
      <w:r w:rsidRPr="003725B6">
        <w:rPr>
          <w:vertAlign w:val="superscript"/>
        </w:rPr>
        <w:t>62</w:t>
      </w:r>
    </w:p>
    <w:p w14:paraId="7FC24E19" w14:textId="77777777" w:rsidR="003725B6" w:rsidRPr="003725B6" w:rsidRDefault="003725B6" w:rsidP="003725B6">
      <w:pPr>
        <w:numPr>
          <w:ilvl w:val="0"/>
          <w:numId w:val="5"/>
        </w:numPr>
      </w:pPr>
      <w:r w:rsidRPr="003725B6">
        <w:rPr>
          <w:b/>
          <w:bCs/>
        </w:rPr>
        <w:t>Declarações do Simples Nacional:</w:t>
      </w:r>
      <w:r w:rsidRPr="003725B6">
        <w:t xml:space="preserve"> Como a DEFIS (Declaração de Informações Socioeconômicas e Fiscais), que é uma obrigação anual.</w:t>
      </w:r>
      <w:r w:rsidRPr="003725B6">
        <w:rPr>
          <w:vertAlign w:val="superscript"/>
        </w:rPr>
        <w:t>59</w:t>
      </w:r>
    </w:p>
    <w:p w14:paraId="5C3B021A" w14:textId="77777777" w:rsidR="003725B6" w:rsidRPr="003725B6" w:rsidRDefault="003725B6" w:rsidP="003725B6">
      <w:pPr>
        <w:rPr>
          <w:b/>
          <w:bCs/>
        </w:rPr>
      </w:pPr>
      <w:r w:rsidRPr="003725B6">
        <w:rPr>
          <w:b/>
          <w:bCs/>
        </w:rPr>
        <w:t>Seção 2.6: O Futuro da Tributação: Navegando a Reforma Tributária Brasileira</w:t>
      </w:r>
    </w:p>
    <w:p w14:paraId="5ECC845F" w14:textId="77777777" w:rsidR="003725B6" w:rsidRPr="003725B6" w:rsidRDefault="003725B6" w:rsidP="003725B6">
      <w:r w:rsidRPr="003725B6">
        <w:t>O sistema tributário brasileiro está em meio a uma transformação histórica. O agente deve estar na vanguarda desse processo, com conhecimento constantemente atualizado.</w:t>
      </w:r>
    </w:p>
    <w:p w14:paraId="66FF240D" w14:textId="77777777" w:rsidR="003725B6" w:rsidRPr="003725B6" w:rsidRDefault="003725B6" w:rsidP="003725B6">
      <w:pPr>
        <w:numPr>
          <w:ilvl w:val="0"/>
          <w:numId w:val="6"/>
        </w:numPr>
      </w:pPr>
      <w:r w:rsidRPr="003725B6">
        <w:rPr>
          <w:b/>
          <w:bCs/>
        </w:rPr>
        <w:t>Novo Modelo (IVA Dual):</w:t>
      </w:r>
      <w:r w:rsidRPr="003725B6">
        <w:t xml:space="preserve"> A Reforma Tributária, promulgada pela Emenda Constitucional 132/2023, visa simplificar o sistema ao extinguir cinco tributos sobre o consumo (PIS, COFINS, IPI, ICMS, ISS) e substituí-los por um Imposto sobre Valor Agregado (IVA) de modelo dual: a Contribuição sobre Bens e Serviços (CBS), de competência federal, e o Imposto sobre Bens e Serviços (IBS), de competência compartilhada entre estados e municípios. Haverá também um Imposto Seletivo (IS) para desestimular o consumo de produtos prejudiciais à saúde e ao meio ambiente.</w:t>
      </w:r>
      <w:r w:rsidRPr="003725B6">
        <w:rPr>
          <w:vertAlign w:val="superscript"/>
        </w:rPr>
        <w:t>63</w:t>
      </w:r>
    </w:p>
    <w:p w14:paraId="6516E402" w14:textId="77777777" w:rsidR="003725B6" w:rsidRPr="003725B6" w:rsidRDefault="003725B6" w:rsidP="003725B6">
      <w:pPr>
        <w:numPr>
          <w:ilvl w:val="0"/>
          <w:numId w:val="6"/>
        </w:numPr>
      </w:pPr>
      <w:r w:rsidRPr="003725B6">
        <w:rPr>
          <w:b/>
          <w:bCs/>
        </w:rPr>
        <w:t>Período de Transição:</w:t>
      </w:r>
      <w:r w:rsidRPr="003725B6">
        <w:t xml:space="preserve"> O agente deve compreender o longo período de transição, que ocorrerá de 2026 a 2033, durante o qual os sistemas antigo e novo coexistirão. Isso exigirá das empresas uma gestão tributária dupla e complexa.</w:t>
      </w:r>
      <w:r w:rsidRPr="003725B6">
        <w:rPr>
          <w:vertAlign w:val="superscript"/>
        </w:rPr>
        <w:t>65</w:t>
      </w:r>
    </w:p>
    <w:p w14:paraId="3A360009" w14:textId="77777777" w:rsidR="003725B6" w:rsidRPr="003725B6" w:rsidRDefault="003725B6" w:rsidP="003725B6">
      <w:pPr>
        <w:numPr>
          <w:ilvl w:val="0"/>
          <w:numId w:val="6"/>
        </w:numPr>
      </w:pPr>
      <w:r w:rsidRPr="003725B6">
        <w:rPr>
          <w:b/>
          <w:bCs/>
        </w:rPr>
        <w:t>Regulamentação:</w:t>
      </w:r>
      <w:r w:rsidRPr="003725B6">
        <w:t xml:space="preserve"> O sucesso da reforma depende da regulamentação por meio de leis complementares. O agente deve acompanhar ativamente a tramitação e o conteúdo desses projetos, como o PLP 108/24, que está definindo detalhes operacionais cruciais, como a governança do Comitê Gestor do IBS, o contencioso administrativo e as regras específicas para setores como o financeiro.</w:t>
      </w:r>
      <w:r w:rsidRPr="003725B6">
        <w:rPr>
          <w:vertAlign w:val="superscript"/>
        </w:rPr>
        <w:t>66</w:t>
      </w:r>
    </w:p>
    <w:p w14:paraId="44AC34E8" w14:textId="77777777" w:rsidR="003725B6" w:rsidRPr="003725B6" w:rsidRDefault="003725B6" w:rsidP="003725B6">
      <w:r w:rsidRPr="003725B6">
        <w:t>A escolha do regime tributário não é uma mera formalidade de conformidade, mas uma decisão estratégica fundamental que deve estar em perfeita sintonia com o modelo de negócio, a estrutura de custos e as margens de lucro de uma empresa. Uma escolha desalinhada pode ter consequências financeiras devastadoras. Uma empresa com altos custos operacionais e margens de lucro apertadas, por exemplo, seria severamente penalizada no regime de Lucro Presumido, onde o imposto é calculado sobre uma presunção de lucro aplicada à receita, ignorando os custos reais.</w:t>
      </w:r>
      <w:r w:rsidRPr="003725B6">
        <w:rPr>
          <w:vertAlign w:val="superscript"/>
        </w:rPr>
        <w:t>37</w:t>
      </w:r>
      <w:r w:rsidRPr="003725B6">
        <w:t xml:space="preserve"> Para essa empresa, a complexidade do Lucro Real é um fardo necessário, pois permite a dedução desses custos, resultando em uma base de cálculo de impostos menor e mais justa.</w:t>
      </w:r>
      <w:r w:rsidRPr="003725B6">
        <w:rPr>
          <w:vertAlign w:val="superscript"/>
        </w:rPr>
        <w:t>38</w:t>
      </w:r>
      <w:r w:rsidRPr="003725B6">
        <w:t xml:space="preserve"> Em contrapartida, uma empresa de serviços com alta lucratividade e baixos custos operacionais provavelmente pagaria muito menos impostos no Lucro Presumido do que no Lucro Real.</w:t>
      </w:r>
      <w:r w:rsidRPr="003725B6">
        <w:rPr>
          <w:vertAlign w:val="superscript"/>
        </w:rPr>
        <w:t>70</w:t>
      </w:r>
      <w:r w:rsidRPr="003725B6">
        <w:t xml:space="preserve"> O agente deve, portanto, ser capaz de modelar a estrutura financeira completa de uma empresa (DRE, detalhamento de custos) sob cada regime para simular a carga tributária e identificar a opção ótima. A Reforma Tributária adiciona uma camada de complexidade a essa análise, exigindo que o agente modele esses cenários tanto no sistema atual quanto no futuro sistema de IVA, simultaneamente, durante o longo período de transição.</w:t>
      </w:r>
      <w:r w:rsidRPr="003725B6">
        <w:rPr>
          <w:vertAlign w:val="superscript"/>
        </w:rPr>
        <w:t>65</w:t>
      </w:r>
    </w:p>
    <w:tbl>
      <w:tblPr>
        <w:tblW w:w="0" w:type="auto"/>
        <w:tblCellSpacing w:w="15" w:type="dxa"/>
        <w:tblCellMar>
          <w:left w:w="0" w:type="dxa"/>
          <w:right w:w="0" w:type="dxa"/>
        </w:tblCellMar>
        <w:tblLook w:val="04A0" w:firstRow="1" w:lastRow="0" w:firstColumn="1" w:lastColumn="0" w:noHBand="0" w:noVBand="1"/>
      </w:tblPr>
      <w:tblGrid>
        <w:gridCol w:w="2164"/>
        <w:gridCol w:w="2031"/>
        <w:gridCol w:w="2145"/>
        <w:gridCol w:w="2148"/>
      </w:tblGrid>
      <w:tr w:rsidR="003725B6" w:rsidRPr="003725B6" w14:paraId="08EE1B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687BE" w14:textId="77777777" w:rsidR="003725B6" w:rsidRPr="003725B6" w:rsidRDefault="003725B6" w:rsidP="003725B6">
            <w:r w:rsidRPr="003725B6">
              <w:t>Tabela 2: Análise Comparativa dos Regimes de Tributação de Pessoas Jurídicas no Brasil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2473B"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3A003"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E7D6A" w14:textId="77777777" w:rsidR="003725B6" w:rsidRPr="003725B6" w:rsidRDefault="003725B6" w:rsidP="003725B6"/>
        </w:tc>
      </w:tr>
      <w:tr w:rsidR="003725B6" w:rsidRPr="003725B6" w14:paraId="4D9E70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BA98F" w14:textId="77777777" w:rsidR="003725B6" w:rsidRPr="003725B6" w:rsidRDefault="003725B6" w:rsidP="003725B6">
            <w:r w:rsidRPr="003725B6">
              <w:rPr>
                <w:b/>
                <w:bCs/>
              </w:rPr>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4A2C0" w14:textId="77777777" w:rsidR="003725B6" w:rsidRPr="003725B6" w:rsidRDefault="003725B6" w:rsidP="003725B6">
            <w:r w:rsidRPr="003725B6">
              <w:rPr>
                <w:b/>
                <w:bCs/>
              </w:rPr>
              <w:t>Simples Nacional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46462" w14:textId="77777777" w:rsidR="003725B6" w:rsidRPr="003725B6" w:rsidRDefault="003725B6" w:rsidP="003725B6">
            <w:r w:rsidRPr="003725B6">
              <w:rPr>
                <w:b/>
                <w:bCs/>
              </w:rPr>
              <w:t>Lucro Presumido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BEC21" w14:textId="77777777" w:rsidR="003725B6" w:rsidRPr="003725B6" w:rsidRDefault="003725B6" w:rsidP="003725B6">
            <w:r w:rsidRPr="003725B6">
              <w:rPr>
                <w:b/>
                <w:bCs/>
              </w:rPr>
              <w:t>Lucro Real</w:t>
            </w:r>
          </w:p>
        </w:tc>
      </w:tr>
      <w:tr w:rsidR="003725B6" w:rsidRPr="003725B6" w14:paraId="45F276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9EA2A" w14:textId="77777777" w:rsidR="003725B6" w:rsidRPr="003725B6" w:rsidRDefault="003725B6" w:rsidP="003725B6">
            <w:r w:rsidRPr="003725B6">
              <w:rPr>
                <w:b/>
                <w:bCs/>
              </w:rPr>
              <w:t>Limite de Faturamento 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93E8C" w14:textId="77777777" w:rsidR="003725B6" w:rsidRPr="003725B6" w:rsidRDefault="003725B6" w:rsidP="003725B6">
            <w:r w:rsidRPr="003725B6">
              <w:t>Até R$ 4,8 milhões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17347" w14:textId="77777777" w:rsidR="003725B6" w:rsidRPr="003725B6" w:rsidRDefault="003725B6" w:rsidP="003725B6">
            <w:r w:rsidRPr="003725B6">
              <w:t>Até R$ 78 milhões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02C5A" w14:textId="77777777" w:rsidR="003725B6" w:rsidRPr="003725B6" w:rsidRDefault="003725B6" w:rsidP="003725B6">
            <w:r w:rsidRPr="003725B6">
              <w:t>Sem limite; obrigatório acima de R$ 78 milhões</w:t>
            </w:r>
          </w:p>
        </w:tc>
      </w:tr>
      <w:tr w:rsidR="003725B6" w:rsidRPr="003725B6" w14:paraId="7D7851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605A6" w14:textId="77777777" w:rsidR="003725B6" w:rsidRPr="003725B6" w:rsidRDefault="003725B6" w:rsidP="003725B6">
            <w:r w:rsidRPr="003725B6">
              <w:rPr>
                <w:b/>
                <w:bCs/>
              </w:rPr>
              <w:t>Tributos Abrangidos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360CF" w14:textId="77777777" w:rsidR="003725B6" w:rsidRPr="003725B6" w:rsidRDefault="003725B6" w:rsidP="003725B6">
            <w:r w:rsidRPr="003725B6">
              <w:t>Unifica até 8 tributos (federais, estaduais, municipais) em uma guia (DAS)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5C52E" w14:textId="77777777" w:rsidR="003725B6" w:rsidRPr="003725B6" w:rsidRDefault="003725B6" w:rsidP="003725B6">
            <w:r w:rsidRPr="003725B6">
              <w:t>Apuração separada por 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A80B5" w14:textId="77777777" w:rsidR="003725B6" w:rsidRPr="003725B6" w:rsidRDefault="003725B6" w:rsidP="003725B6">
            <w:r w:rsidRPr="003725B6">
              <w:t>Apuração separada por tributo</w:t>
            </w:r>
          </w:p>
        </w:tc>
      </w:tr>
      <w:tr w:rsidR="003725B6" w:rsidRPr="003725B6" w14:paraId="0B63A5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D53BB" w14:textId="77777777" w:rsidR="003725B6" w:rsidRPr="003725B6" w:rsidRDefault="003725B6" w:rsidP="003725B6">
            <w:r w:rsidRPr="003725B6">
              <w:rPr>
                <w:b/>
                <w:bCs/>
              </w:rPr>
              <w:t>Base de Cálculo (IRPJ/CSLL)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1E068" w14:textId="77777777" w:rsidR="003725B6" w:rsidRPr="003725B6" w:rsidRDefault="003725B6" w:rsidP="003725B6">
            <w:r w:rsidRPr="003725B6">
              <w:t>Alíquota efetiva sobre a Receita Bruta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AEDD1" w14:textId="77777777" w:rsidR="003725B6" w:rsidRPr="003725B6" w:rsidRDefault="003725B6" w:rsidP="003725B6">
            <w:r w:rsidRPr="003725B6">
              <w:t>Percentual de presunção de lucro sobre a Receita Bruta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24451" w14:textId="77777777" w:rsidR="003725B6" w:rsidRPr="003725B6" w:rsidRDefault="003725B6" w:rsidP="003725B6">
            <w:r w:rsidRPr="003725B6">
              <w:t>Lucro Contábil real, ajustado fiscalmente (LALUR/LACS)</w:t>
            </w:r>
          </w:p>
        </w:tc>
      </w:tr>
      <w:tr w:rsidR="003725B6" w:rsidRPr="003725B6" w14:paraId="09227E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D6C36D" w14:textId="77777777" w:rsidR="003725B6" w:rsidRPr="003725B6" w:rsidRDefault="003725B6" w:rsidP="003725B6">
            <w:r w:rsidRPr="003725B6">
              <w:rPr>
                <w:b/>
                <w:bCs/>
              </w:rPr>
              <w:t>Regime PIS/COFINS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3D236" w14:textId="77777777" w:rsidR="003725B6" w:rsidRPr="003725B6" w:rsidRDefault="003725B6" w:rsidP="003725B6">
            <w:r w:rsidRPr="003725B6">
              <w:t>Unificado no 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44280" w14:textId="77777777" w:rsidR="003725B6" w:rsidRPr="003725B6" w:rsidRDefault="003725B6" w:rsidP="003725B6">
            <w:r w:rsidRPr="003725B6">
              <w:t>Cumulativo (Alíquotas: 0,65% 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7FD05" w14:textId="77777777" w:rsidR="003725B6" w:rsidRPr="003725B6" w:rsidRDefault="003725B6" w:rsidP="003725B6">
            <w:r w:rsidRPr="003725B6">
              <w:t>Não Cumulativo (Alíquotas: 1,65% e 7,6%), com direito a créditos</w:t>
            </w:r>
          </w:p>
        </w:tc>
      </w:tr>
      <w:tr w:rsidR="003725B6" w:rsidRPr="003725B6" w14:paraId="4A13A7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5A3FF3" w14:textId="77777777" w:rsidR="003725B6" w:rsidRPr="003725B6" w:rsidRDefault="003725B6" w:rsidP="003725B6">
            <w:r w:rsidRPr="003725B6">
              <w:rPr>
                <w:b/>
                <w:bCs/>
              </w:rPr>
              <w:t>Obrigações Acessórias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400E8" w14:textId="77777777" w:rsidR="003725B6" w:rsidRPr="003725B6" w:rsidRDefault="003725B6" w:rsidP="003725B6">
            <w:r w:rsidRPr="003725B6">
              <w:t>Simplificadas (ex: DEFIS)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37D87" w14:textId="77777777" w:rsidR="003725B6" w:rsidRPr="003725B6" w:rsidRDefault="003725B6" w:rsidP="003725B6">
            <w:r w:rsidRPr="003725B6">
              <w:t>Intermediárias (ex: EFD Contribuições, DCTF, ECF)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37530" w14:textId="77777777" w:rsidR="003725B6" w:rsidRPr="003725B6" w:rsidRDefault="003725B6" w:rsidP="003725B6">
            <w:r w:rsidRPr="003725B6">
              <w:t>Mais complexas (ex: ECD, ECF, EFDs, LALUR)</w:t>
            </w:r>
          </w:p>
        </w:tc>
      </w:tr>
      <w:tr w:rsidR="003725B6" w:rsidRPr="003725B6" w14:paraId="602363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84226" w14:textId="77777777" w:rsidR="003725B6" w:rsidRPr="003725B6" w:rsidRDefault="003725B6" w:rsidP="003725B6">
            <w:r w:rsidRPr="003725B6">
              <w:rPr>
                <w:b/>
                <w:bCs/>
              </w:rPr>
              <w:t>Perfil Ideal de Empresa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A93D" w14:textId="77777777" w:rsidR="003725B6" w:rsidRPr="003725B6" w:rsidRDefault="003725B6" w:rsidP="003725B6">
            <w:r w:rsidRPr="003725B6">
              <w:t>Micro e pequenas empresas com margens de lucro médias a altas e poucos custos creditáveis.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F3F56" w14:textId="77777777" w:rsidR="003725B6" w:rsidRPr="003725B6" w:rsidRDefault="003725B6" w:rsidP="003725B6">
            <w:r w:rsidRPr="003725B6">
              <w:t>Empresas com margens de lucro superiores à presunção legal e custos operacionais baixos.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D863B" w14:textId="77777777" w:rsidR="003725B6" w:rsidRPr="003725B6" w:rsidRDefault="003725B6" w:rsidP="003725B6">
            <w:r w:rsidRPr="003725B6">
              <w:t>Empresas com margens de lucro baixas ou prejuízo, altos custos operacionais que geram créditos de PIS/COFINS.</w:t>
            </w:r>
          </w:p>
        </w:tc>
      </w:tr>
    </w:tbl>
    <w:p w14:paraId="48BD0A15" w14:textId="77777777" w:rsidR="003725B6" w:rsidRPr="003725B6" w:rsidRDefault="003725B6" w:rsidP="003725B6">
      <w:pPr>
        <w:rPr>
          <w:vanish/>
        </w:rPr>
      </w:pPr>
    </w:p>
    <w:tbl>
      <w:tblPr>
        <w:tblW w:w="0" w:type="auto"/>
        <w:tblCellSpacing w:w="15" w:type="dxa"/>
        <w:tblCellMar>
          <w:left w:w="0" w:type="dxa"/>
          <w:right w:w="0" w:type="dxa"/>
        </w:tblCellMar>
        <w:tblLook w:val="04A0" w:firstRow="1" w:lastRow="0" w:firstColumn="1" w:lastColumn="0" w:noHBand="0" w:noVBand="1"/>
      </w:tblPr>
      <w:tblGrid>
        <w:gridCol w:w="1566"/>
        <w:gridCol w:w="1761"/>
        <w:gridCol w:w="1921"/>
        <w:gridCol w:w="1433"/>
        <w:gridCol w:w="1807"/>
      </w:tblGrid>
      <w:tr w:rsidR="003725B6" w:rsidRPr="003725B6" w14:paraId="1C4FE3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8AE0F" w14:textId="77777777" w:rsidR="003725B6" w:rsidRPr="003725B6" w:rsidRDefault="003725B6" w:rsidP="003725B6">
            <w:r w:rsidRPr="003725B6">
              <w:t>Tabela 3: Matriz dos Principais Tributos Brasileiros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A3489"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E69BA"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AC515" w14:textId="77777777" w:rsidR="003725B6" w:rsidRPr="003725B6" w:rsidRDefault="003725B6" w:rsidP="003725B6"/>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79F87" w14:textId="77777777" w:rsidR="003725B6" w:rsidRPr="003725B6" w:rsidRDefault="003725B6" w:rsidP="003725B6"/>
        </w:tc>
      </w:tr>
      <w:tr w:rsidR="003725B6" w:rsidRPr="003725B6" w14:paraId="23C2D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EB71E" w14:textId="77777777" w:rsidR="003725B6" w:rsidRPr="003725B6" w:rsidRDefault="003725B6" w:rsidP="003725B6">
            <w:r w:rsidRPr="003725B6">
              <w:rPr>
                <w:b/>
                <w:bCs/>
              </w:rPr>
              <w:t>Tributo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3C6B2" w14:textId="77777777" w:rsidR="003725B6" w:rsidRPr="003725B6" w:rsidRDefault="003725B6" w:rsidP="003725B6">
            <w:r w:rsidRPr="003725B6">
              <w:rPr>
                <w:b/>
                <w:bCs/>
              </w:rPr>
              <w:t>Competência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AA1D6" w14:textId="77777777" w:rsidR="003725B6" w:rsidRPr="003725B6" w:rsidRDefault="003725B6" w:rsidP="003725B6">
            <w:r w:rsidRPr="003725B6">
              <w:rPr>
                <w:b/>
                <w:bCs/>
              </w:rPr>
              <w:t>Fato Gerador (Evento Tributável)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F5C4A" w14:textId="77777777" w:rsidR="003725B6" w:rsidRPr="003725B6" w:rsidRDefault="003725B6" w:rsidP="003725B6">
            <w:r w:rsidRPr="003725B6">
              <w:rPr>
                <w:b/>
                <w:bCs/>
              </w:rPr>
              <w:t>Base de Cálculo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248302" w14:textId="77777777" w:rsidR="003725B6" w:rsidRPr="003725B6" w:rsidRDefault="003725B6" w:rsidP="003725B6">
            <w:r w:rsidRPr="003725B6">
              <w:rPr>
                <w:b/>
                <w:bCs/>
              </w:rPr>
              <w:t>Faixa Geral de Alíquotas</w:t>
            </w:r>
          </w:p>
        </w:tc>
      </w:tr>
      <w:tr w:rsidR="003725B6" w:rsidRPr="003725B6" w14:paraId="53DFDF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A4D43" w14:textId="77777777" w:rsidR="003725B6" w:rsidRPr="003725B6" w:rsidRDefault="003725B6" w:rsidP="003725B6">
            <w:r w:rsidRPr="003725B6">
              <w:t>IRPJ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2AAD3" w14:textId="77777777" w:rsidR="003725B6" w:rsidRPr="003725B6" w:rsidRDefault="003725B6" w:rsidP="003725B6">
            <w:r w:rsidRPr="003725B6">
              <w:t>Federal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0564A" w14:textId="77777777" w:rsidR="003725B6" w:rsidRPr="003725B6" w:rsidRDefault="003725B6" w:rsidP="003725B6">
            <w:r w:rsidRPr="003725B6">
              <w:t>Auferir lucro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B359D" w14:textId="77777777" w:rsidR="003725B6" w:rsidRPr="003725B6" w:rsidRDefault="003725B6" w:rsidP="003725B6">
            <w:r w:rsidRPr="003725B6">
              <w:t>Lucro Real, Presumido ou Arbitrado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4B4FB" w14:textId="77777777" w:rsidR="003725B6" w:rsidRPr="003725B6" w:rsidRDefault="003725B6" w:rsidP="003725B6">
            <w:r w:rsidRPr="003725B6">
              <w:t>15% (+10% adicional)</w:t>
            </w:r>
          </w:p>
        </w:tc>
      </w:tr>
      <w:tr w:rsidR="003725B6" w:rsidRPr="003725B6" w14:paraId="4722D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D7FDE" w14:textId="77777777" w:rsidR="003725B6" w:rsidRPr="003725B6" w:rsidRDefault="003725B6" w:rsidP="003725B6">
            <w:r w:rsidRPr="003725B6">
              <w:t>CSLL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F48AE" w14:textId="77777777" w:rsidR="003725B6" w:rsidRPr="003725B6" w:rsidRDefault="003725B6" w:rsidP="003725B6">
            <w:r w:rsidRPr="003725B6">
              <w:t>Federal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41DAA" w14:textId="77777777" w:rsidR="003725B6" w:rsidRPr="003725B6" w:rsidRDefault="003725B6" w:rsidP="003725B6">
            <w:r w:rsidRPr="003725B6">
              <w:t>Auferir lucro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2F687" w14:textId="77777777" w:rsidR="003725B6" w:rsidRPr="003725B6" w:rsidRDefault="003725B6" w:rsidP="003725B6">
            <w:r w:rsidRPr="003725B6">
              <w:t>Lucro Real, Presumido ou Arbitrado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83E83" w14:textId="77777777" w:rsidR="003725B6" w:rsidRPr="003725B6" w:rsidRDefault="003725B6" w:rsidP="003725B6">
            <w:r w:rsidRPr="003725B6">
              <w:t>9%</w:t>
            </w:r>
          </w:p>
        </w:tc>
      </w:tr>
      <w:tr w:rsidR="003725B6" w:rsidRPr="003725B6" w14:paraId="10982E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278BF" w14:textId="77777777" w:rsidR="003725B6" w:rsidRPr="003725B6" w:rsidRDefault="003725B6" w:rsidP="003725B6">
            <w:r w:rsidRPr="003725B6">
              <w:t>PIS/COFINS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F0C49" w14:textId="77777777" w:rsidR="003725B6" w:rsidRPr="003725B6" w:rsidRDefault="003725B6" w:rsidP="003725B6">
            <w:r w:rsidRPr="003725B6">
              <w:t>Federal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6F848" w14:textId="77777777" w:rsidR="003725B6" w:rsidRPr="003725B6" w:rsidRDefault="003725B6" w:rsidP="003725B6">
            <w:r w:rsidRPr="003725B6">
              <w:t>Auferir receita ou faturamento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F98A1" w14:textId="77777777" w:rsidR="003725B6" w:rsidRPr="003725B6" w:rsidRDefault="003725B6" w:rsidP="003725B6">
            <w:r w:rsidRPr="003725B6">
              <w:t>Receita Bruta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345B" w14:textId="77777777" w:rsidR="003725B6" w:rsidRPr="003725B6" w:rsidRDefault="003725B6" w:rsidP="003725B6">
            <w:r w:rsidRPr="003725B6">
              <w:t>Cumulativo: 3,65%; Não Cumulativo: 9,25%</w:t>
            </w:r>
          </w:p>
        </w:tc>
      </w:tr>
      <w:tr w:rsidR="003725B6" w:rsidRPr="003725B6" w14:paraId="0B80B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43FE1" w14:textId="77777777" w:rsidR="003725B6" w:rsidRPr="003725B6" w:rsidRDefault="003725B6" w:rsidP="003725B6">
            <w:r w:rsidRPr="003725B6">
              <w: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363B9" w14:textId="77777777" w:rsidR="003725B6" w:rsidRPr="003725B6" w:rsidRDefault="003725B6" w:rsidP="003725B6">
            <w:r w:rsidRPr="003725B6">
              <w:t>Federal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56089" w14:textId="77777777" w:rsidR="003725B6" w:rsidRPr="003725B6" w:rsidRDefault="003725B6" w:rsidP="003725B6">
            <w:r w:rsidRPr="003725B6">
              <w:t>Industrialização de produtos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547AF" w14:textId="77777777" w:rsidR="003725B6" w:rsidRPr="003725B6" w:rsidRDefault="003725B6" w:rsidP="003725B6">
            <w:r w:rsidRPr="003725B6">
              <w:t>Valor da operação de saída do produto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BA4DE" w14:textId="77777777" w:rsidR="003725B6" w:rsidRPr="003725B6" w:rsidRDefault="003725B6" w:rsidP="003725B6">
            <w:r w:rsidRPr="003725B6">
              <w:t>Variável (conforme Tabela TIPI/NCM)</w:t>
            </w:r>
          </w:p>
        </w:tc>
      </w:tr>
      <w:tr w:rsidR="003725B6" w:rsidRPr="003725B6" w14:paraId="256359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2CF88" w14:textId="77777777" w:rsidR="003725B6" w:rsidRPr="003725B6" w:rsidRDefault="003725B6" w:rsidP="003725B6">
            <w:r w:rsidRPr="003725B6">
              <w:t>ICMS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09429" w14:textId="77777777" w:rsidR="003725B6" w:rsidRPr="003725B6" w:rsidRDefault="003725B6" w:rsidP="003725B6">
            <w:r w:rsidRPr="003725B6">
              <w:t>Estadual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0B71E" w14:textId="77777777" w:rsidR="003725B6" w:rsidRPr="003725B6" w:rsidRDefault="003725B6" w:rsidP="003725B6">
            <w:r w:rsidRPr="003725B6">
              <w:t>Circulação de mercadorias e prestação de serviços específicos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DEC03" w14:textId="77777777" w:rsidR="003725B6" w:rsidRPr="003725B6" w:rsidRDefault="003725B6" w:rsidP="003725B6">
            <w:r w:rsidRPr="003725B6">
              <w:t>Valor da operação ou prestação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4216F" w14:textId="77777777" w:rsidR="003725B6" w:rsidRPr="003725B6" w:rsidRDefault="003725B6" w:rsidP="003725B6">
            <w:r w:rsidRPr="003725B6">
              <w:t>17% a 22% (interna); 4%, 7% ou 12% (interestadual)</w:t>
            </w:r>
          </w:p>
        </w:tc>
      </w:tr>
      <w:tr w:rsidR="003725B6" w:rsidRPr="003725B6" w14:paraId="1B388C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A87FC" w14:textId="77777777" w:rsidR="003725B6" w:rsidRPr="003725B6" w:rsidRDefault="003725B6" w:rsidP="003725B6">
            <w:r w:rsidRPr="003725B6">
              <w:t>ISS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FCA8E" w14:textId="77777777" w:rsidR="003725B6" w:rsidRPr="003725B6" w:rsidRDefault="003725B6" w:rsidP="003725B6">
            <w:r w:rsidRPr="003725B6">
              <w:t>Municipal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A74BD" w14:textId="77777777" w:rsidR="003725B6" w:rsidRPr="003725B6" w:rsidRDefault="003725B6" w:rsidP="003725B6">
            <w:r w:rsidRPr="003725B6">
              <w:t>Prestação de serviços (conforme lista da LC 116/03)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D579F" w14:textId="77777777" w:rsidR="003725B6" w:rsidRPr="003725B6" w:rsidRDefault="003725B6" w:rsidP="003725B6">
            <w:r w:rsidRPr="003725B6">
              <w:t>Preço do serviço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723E3" w14:textId="77777777" w:rsidR="003725B6" w:rsidRPr="003725B6" w:rsidRDefault="003725B6" w:rsidP="003725B6">
            <w:r w:rsidRPr="003725B6">
              <w:t>2% a 5%</w:t>
            </w:r>
          </w:p>
        </w:tc>
      </w:tr>
    </w:tbl>
    <w:p w14:paraId="6385915C" w14:textId="77777777" w:rsidR="003725B6" w:rsidRPr="003725B6" w:rsidRDefault="003725B6" w:rsidP="003725B6">
      <w:pPr>
        <w:rPr>
          <w:b/>
          <w:bCs/>
        </w:rPr>
      </w:pPr>
      <w:r w:rsidRPr="003725B6">
        <w:rPr>
          <w:b/>
          <w:bCs/>
        </w:rPr>
        <w:t>Parte III: A Arena Global - Comércio Internacional, Aduana e Tributação</w:t>
      </w:r>
    </w:p>
    <w:p w14:paraId="16267341" w14:textId="77777777" w:rsidR="003725B6" w:rsidRPr="003725B6" w:rsidRDefault="003725B6" w:rsidP="003725B6">
      <w:r w:rsidRPr="003725B6">
        <w:t>Esta parte equipa o agente com o conhecimento necessário para gerenciar operações transfronteiriças. Ela combina os aspectos procedimentais do desembaraço aduaneiro com as complexas implicações legais e tributárias do comércio internacional, tornando o agente um verdadeiro especialista em comércio global.</w:t>
      </w:r>
    </w:p>
    <w:p w14:paraId="5C204F9D" w14:textId="77777777" w:rsidR="003725B6" w:rsidRPr="003725B6" w:rsidRDefault="003725B6" w:rsidP="003725B6">
      <w:pPr>
        <w:rPr>
          <w:b/>
          <w:bCs/>
        </w:rPr>
      </w:pPr>
      <w:r w:rsidRPr="003725B6">
        <w:rPr>
          <w:b/>
          <w:bCs/>
        </w:rPr>
        <w:t>Seção 3.1: O Portal para o Comércio Global: Portal Único Siscomex e Habilitação RADAR</w:t>
      </w:r>
    </w:p>
    <w:p w14:paraId="5E9B336B" w14:textId="77777777" w:rsidR="003725B6" w:rsidRPr="003725B6" w:rsidRDefault="003725B6" w:rsidP="003725B6">
      <w:r w:rsidRPr="003725B6">
        <w:t>O acesso ao comércio exterior brasileiro é centralizado e rigorosamente controlado. O agente deve dominar as ferramentas e os pré-requisitos para operar nesse ambiente.</w:t>
      </w:r>
    </w:p>
    <w:p w14:paraId="0310739B" w14:textId="77777777" w:rsidR="003725B6" w:rsidRPr="003725B6" w:rsidRDefault="003725B6" w:rsidP="003725B6">
      <w:pPr>
        <w:numPr>
          <w:ilvl w:val="0"/>
          <w:numId w:val="7"/>
        </w:numPr>
      </w:pPr>
      <w:r w:rsidRPr="003725B6">
        <w:rPr>
          <w:b/>
          <w:bCs/>
        </w:rPr>
        <w:t>Portal Único Siscomex:</w:t>
      </w:r>
      <w:r w:rsidRPr="003725B6">
        <w:t xml:space="preserve"> O agente deve reconhecer este sistema como a plataforma governamental central para a reformulação e integração de todos os processos de importação, exportação e trânsito aduaneiro.</w:t>
      </w:r>
      <w:r w:rsidRPr="003725B6">
        <w:rPr>
          <w:vertAlign w:val="superscript"/>
        </w:rPr>
        <w:t>71</w:t>
      </w:r>
      <w:r w:rsidRPr="003725B6">
        <w:t xml:space="preserve"> É essencial conhecer seus módulos principais — Importação, Exportação, Cadastro de Intervenientes e Catálogo de Produtos — e entender que o acesso requer um certificado digital e-CPF ou e-CNPJ.</w:t>
      </w:r>
      <w:r w:rsidRPr="003725B6">
        <w:rPr>
          <w:vertAlign w:val="superscript"/>
        </w:rPr>
        <w:t>71</w:t>
      </w:r>
    </w:p>
    <w:p w14:paraId="292FABB8" w14:textId="77777777" w:rsidR="003725B6" w:rsidRPr="003725B6" w:rsidRDefault="003725B6" w:rsidP="003725B6">
      <w:pPr>
        <w:numPr>
          <w:ilvl w:val="0"/>
          <w:numId w:val="7"/>
        </w:numPr>
      </w:pPr>
      <w:r w:rsidRPr="003725B6">
        <w:rPr>
          <w:b/>
          <w:bCs/>
        </w:rPr>
        <w:t>Habilitação no RADAR:</w:t>
      </w:r>
      <w:r w:rsidRPr="003725B6">
        <w:t xml:space="preserve"> Este é o primeiro passo obrigatório para qualquer empresa que deseje atuar no comércio exterior. O agente deve saber que a Habilitação para Atuar no Comércio Exterior (antigamente conhecida como RADAR) é uma autorização concedida pela Receita Federal do Brasil (RFB).</w:t>
      </w:r>
      <w:r w:rsidRPr="003725B6">
        <w:rPr>
          <w:vertAlign w:val="superscript"/>
        </w:rPr>
        <w:t>72</w:t>
      </w:r>
      <w:r w:rsidRPr="003725B6">
        <w:t xml:space="preserve"> O processo de requerimento é realizado, em regra, pelo "Sistema Habilita" dentro do Portal Único.</w:t>
      </w:r>
      <w:r w:rsidRPr="003725B6">
        <w:rPr>
          <w:vertAlign w:val="superscript"/>
        </w:rPr>
        <w:t>74</w:t>
      </w:r>
      <w:r w:rsidRPr="003725B6">
        <w:t xml:space="preserve"> O agente deve dominar os requisitos para a habilitação, como possuir CNPJ ativo e aderir ao Domicílio Tributário Eletrônico (DTE), e as diferentes modalidades de habilitação (Expressa, Limitada e Ilimitada), que são definidas com base na capacidade financeira estimada da empresa e determinam os limites de valor para importação.</w:t>
      </w:r>
      <w:r w:rsidRPr="003725B6">
        <w:rPr>
          <w:vertAlign w:val="superscript"/>
        </w:rPr>
        <w:t>74</w:t>
      </w:r>
    </w:p>
    <w:p w14:paraId="24DB8458" w14:textId="77777777" w:rsidR="003725B6" w:rsidRPr="003725B6" w:rsidRDefault="003725B6" w:rsidP="003725B6">
      <w:pPr>
        <w:rPr>
          <w:b/>
          <w:bCs/>
        </w:rPr>
      </w:pPr>
      <w:r w:rsidRPr="003725B6">
        <w:rPr>
          <w:b/>
          <w:bCs/>
        </w:rPr>
        <w:t>Seção 3.2: A Linguagem das Mercadorias: Nomenclatura Comum do Mercosul (NCM) e Classificação Tarifária</w:t>
      </w:r>
    </w:p>
    <w:p w14:paraId="1470EDED" w14:textId="77777777" w:rsidR="003725B6" w:rsidRPr="003725B6" w:rsidRDefault="003725B6" w:rsidP="003725B6">
      <w:r w:rsidRPr="003725B6">
        <w:t>A classificação fiscal de mercadorias é a pedra angular de qualquer operação de comércio exterior. Um erro nesta etapa pode invalidar todo o planejamento logístico e tributário.</w:t>
      </w:r>
    </w:p>
    <w:p w14:paraId="4B645B4A" w14:textId="77777777" w:rsidR="003725B6" w:rsidRPr="003725B6" w:rsidRDefault="003725B6" w:rsidP="003725B6">
      <w:pPr>
        <w:numPr>
          <w:ilvl w:val="0"/>
          <w:numId w:val="8"/>
        </w:numPr>
      </w:pPr>
      <w:r w:rsidRPr="003725B6">
        <w:rPr>
          <w:b/>
          <w:bCs/>
        </w:rPr>
        <w:t>Estrutura e Propósito:</w:t>
      </w:r>
      <w:r w:rsidRPr="003725B6">
        <w:t xml:space="preserve"> O agente deve compreender a NCM como um sistema de códigos de oito dígitos adotado pelos países do Mercosul (Brasil, Argentina, Paraguai e Uruguai) para identificar mercadorias de forma padronizada.</w:t>
      </w:r>
      <w:r w:rsidRPr="003725B6">
        <w:rPr>
          <w:vertAlign w:val="superscript"/>
        </w:rPr>
        <w:t>75</w:t>
      </w:r>
      <w:r w:rsidRPr="003725B6">
        <w:t xml:space="preserve"> É fundamental saber que os seis primeiros dígitos da NCM são baseados no Sistema Harmonizado de Designação e de Codificação de Mercadorias (SH), um padrão internacional mantido pela Organização Mundial das Alfândegas (OMA), enquanto os dois últimos dígitos são específicos do Mercosul.</w:t>
      </w:r>
      <w:r w:rsidRPr="003725B6">
        <w:rPr>
          <w:vertAlign w:val="superscript"/>
        </w:rPr>
        <w:t>75</w:t>
      </w:r>
    </w:p>
    <w:p w14:paraId="640EF694" w14:textId="77777777" w:rsidR="003725B6" w:rsidRPr="003725B6" w:rsidRDefault="003725B6" w:rsidP="003725B6">
      <w:pPr>
        <w:numPr>
          <w:ilvl w:val="0"/>
          <w:numId w:val="8"/>
        </w:numPr>
      </w:pPr>
      <w:r w:rsidRPr="003725B6">
        <w:rPr>
          <w:b/>
          <w:bCs/>
        </w:rPr>
        <w:t>Importância Crítica:</w:t>
      </w:r>
      <w:r w:rsidRPr="003725B6">
        <w:t xml:space="preserve"> A correta classificação de um produto em seu código NCM é de importância suprema. O agente deve estar programado para entender que este código único determina, de forma automática, uma cascata de consequências regulatórias e tributárias: os tributos incidentes na importação (II, IPI, PIS-Importação, COFINS-Importação), a alíquota do ICMS, a necessidade de licenciamento de importação por órgãos anuentes (como ANVISA ou MAPA), e a elegibilidade para regimes aduaneiros especiais ou benefícios tarifários previstos em acordos comerciais.</w:t>
      </w:r>
      <w:r w:rsidRPr="003725B6">
        <w:rPr>
          <w:vertAlign w:val="superscript"/>
        </w:rPr>
        <w:t>75</w:t>
      </w:r>
    </w:p>
    <w:p w14:paraId="2D167DA8" w14:textId="77777777" w:rsidR="003725B6" w:rsidRPr="003725B6" w:rsidRDefault="003725B6" w:rsidP="003725B6">
      <w:r w:rsidRPr="003725B6">
        <w:t xml:space="preserve">A NCM não é apenas um número de classificação; funciona como a chave de API (Interface de Programação de Aplicações) central que conecta todos os sistemas e regulamentos do comércio exterior. Ao definir um código NCM para um produto </w:t>
      </w:r>
      <w:r w:rsidRPr="003725B6">
        <w:rPr>
          <w:vertAlign w:val="superscript"/>
        </w:rPr>
        <w:t>75</w:t>
      </w:r>
      <w:r w:rsidRPr="003725B6">
        <w:t xml:space="preserve">, o sistema desencadeia uma série de consultas e aplicações de regras automatizadas. Este único código determina: 1) As alíquotas específicas do Imposto de Importação (II) e do IPI, através das tabelas TEC e TIPI </w:t>
      </w:r>
      <w:r w:rsidRPr="003725B6">
        <w:rPr>
          <w:vertAlign w:val="superscript"/>
        </w:rPr>
        <w:t>47</w:t>
      </w:r>
      <w:r w:rsidRPr="003725B6">
        <w:t xml:space="preserve">; 2) As alíquotas do PIS/COFINS-Importação; 3) A alíquota do ICMS e a aplicabilidade da Substituição Tributária; 4) A exigência de uma licença de importação de um órgão anuente; 5) A elegibilidade para redução tarifária preferencial sob um acordo comercial, como o acordo Mercosul-UE </w:t>
      </w:r>
      <w:r w:rsidRPr="003725B6">
        <w:rPr>
          <w:vertAlign w:val="superscript"/>
        </w:rPr>
        <w:t>79</w:t>
      </w:r>
      <w:r w:rsidRPr="003725B6">
        <w:t>; e 6) Sua classificação estatística para os relatórios da balança comercial. Consequentemente, a tarefa mais crítica do agente em qualquer operação de importação ou exportação é garantir a precisão absoluta da classificação NCM. Um erro aqui não causa apenas um problema isolado, mas uma falha sistêmica em toda a cadeia aduaneira, fiscal e logística.</w:t>
      </w:r>
    </w:p>
    <w:p w14:paraId="52DF7377" w14:textId="77777777" w:rsidR="003725B6" w:rsidRPr="003725B6" w:rsidRDefault="003725B6" w:rsidP="003725B6">
      <w:pPr>
        <w:rPr>
          <w:b/>
          <w:bCs/>
        </w:rPr>
      </w:pPr>
      <w:r w:rsidRPr="003725B6">
        <w:rPr>
          <w:b/>
          <w:bCs/>
        </w:rPr>
        <w:t>Seção 3.3: Mecânica Operacional: Processos Passo a Passo para Importação e Exportação</w:t>
      </w:r>
    </w:p>
    <w:p w14:paraId="615D8979" w14:textId="77777777" w:rsidR="003725B6" w:rsidRPr="003725B6" w:rsidRDefault="003725B6" w:rsidP="003725B6">
      <w:r w:rsidRPr="003725B6">
        <w:t>O agente deve possuir um conhecimento processual detalhado de todo o fluxo de operações de comércio exterior.</w:t>
      </w:r>
    </w:p>
    <w:p w14:paraId="5C6FE0B7" w14:textId="77777777" w:rsidR="003725B6" w:rsidRPr="003725B6" w:rsidRDefault="003725B6" w:rsidP="003725B6">
      <w:pPr>
        <w:numPr>
          <w:ilvl w:val="0"/>
          <w:numId w:val="9"/>
        </w:numPr>
      </w:pPr>
      <w:r w:rsidRPr="003725B6">
        <w:rPr>
          <w:b/>
          <w:bCs/>
        </w:rPr>
        <w:t>Processo de Importação:</w:t>
      </w:r>
      <w:r w:rsidRPr="003725B6">
        <w:t xml:space="preserve"> O conhecimento deve abranger todo o ciclo de vida da importação, desde o planejamento inicial, passando pela identificação de fornecedores, negociação, logística internacional, até o desembaraço aduaneiro (Despacho de Importação) e a entrega final da mercadoria no estabelecimento do importador.</w:t>
      </w:r>
      <w:r w:rsidRPr="003725B6">
        <w:rPr>
          <w:vertAlign w:val="superscript"/>
        </w:rPr>
        <w:t>80</w:t>
      </w:r>
      <w:r w:rsidRPr="003725B6">
        <w:t xml:space="preserve"> Isso inclui o domínio da documentação necessária, como a Fatura Comercial, o Conhecimento de Embarque e a Declaração de Importação (DI) ou DUIMP.</w:t>
      </w:r>
    </w:p>
    <w:p w14:paraId="4B0CACB0" w14:textId="77777777" w:rsidR="003725B6" w:rsidRPr="003725B6" w:rsidRDefault="003725B6" w:rsidP="003725B6">
      <w:pPr>
        <w:numPr>
          <w:ilvl w:val="0"/>
          <w:numId w:val="9"/>
        </w:numPr>
      </w:pPr>
      <w:r w:rsidRPr="003725B6">
        <w:rPr>
          <w:b/>
          <w:bCs/>
        </w:rPr>
        <w:t>Processo de Exportação:</w:t>
      </w:r>
      <w:r w:rsidRPr="003725B6">
        <w:t xml:space="preserve"> O agente deve dominar as 12 etapas operacionais chave para exportar a partir do Brasil.</w:t>
      </w:r>
      <w:r w:rsidRPr="003725B6">
        <w:rPr>
          <w:vertAlign w:val="superscript"/>
        </w:rPr>
        <w:t>73</w:t>
      </w:r>
      <w:r w:rsidRPr="003725B6">
        <w:t xml:space="preserve"> Este fluxo detalhado inclui: (1) Habilitação no RADAR; (2) Contratação de frete e seguro internacional; (3) Realização da operação de câmbio; (4) Emissão da Fatura Proforma para confirmação da venda; (5) Confirmação do pagamento; (6) Obtenção de certificações, se necessário; (7) Emissão da Nota Fiscal de Exportação (NF-e); (8) Preparação dos documentos de exportação (Commercial Invoice, Packing List); (9) Registro da Declaração Única de Exportação (DU-E) no Portal Siscomex, que consolida informações aduaneiras, comerciais, financeiras e fiscais; (10) Acompanhamento do despacho aduaneiro e seus canais de parametrização (verde, laranja, vermelho); (11) Envio dos documentos originais ao importador; e (12) Liquidação do câmbio.</w:t>
      </w:r>
      <w:r w:rsidRPr="003725B6">
        <w:rPr>
          <w:vertAlign w:val="superscript"/>
        </w:rPr>
        <w:t>73</w:t>
      </w:r>
    </w:p>
    <w:p w14:paraId="4049BE78" w14:textId="77777777" w:rsidR="003725B6" w:rsidRPr="003725B6" w:rsidRDefault="003725B6" w:rsidP="003725B6">
      <w:pPr>
        <w:rPr>
          <w:b/>
          <w:bCs/>
        </w:rPr>
      </w:pPr>
      <w:r w:rsidRPr="003725B6">
        <w:rPr>
          <w:b/>
          <w:bCs/>
        </w:rPr>
        <w:t>Seção 3.4: Direito Tributário Internacional: Tratados de Dupla Tributação e Princípios de Preços de Transferência</w:t>
      </w:r>
    </w:p>
    <w:p w14:paraId="681CD5F6" w14:textId="77777777" w:rsidR="003725B6" w:rsidRPr="003725B6" w:rsidRDefault="003725B6" w:rsidP="003725B6">
      <w:r w:rsidRPr="003725B6">
        <w:t>Operações multinacionais exigem um conhecimento sofisticado para evitar a tributação excessiva e garantir a conformidade com as normas globais.</w:t>
      </w:r>
    </w:p>
    <w:p w14:paraId="35492C70" w14:textId="77777777" w:rsidR="003725B6" w:rsidRPr="003725B6" w:rsidRDefault="003725B6" w:rsidP="003725B6">
      <w:pPr>
        <w:numPr>
          <w:ilvl w:val="0"/>
          <w:numId w:val="10"/>
        </w:numPr>
      </w:pPr>
      <w:r w:rsidRPr="003725B6">
        <w:rPr>
          <w:b/>
          <w:bCs/>
        </w:rPr>
        <w:t>Acordos para Evitar a Dupla Tributação (ADT):</w:t>
      </w:r>
      <w:r w:rsidRPr="003725B6">
        <w:t xml:space="preserve"> O agente deve compreender que os ADTs são tratados bilaterais que o Brasil firma com outros países para impedir que a mesma renda seja tributada duas vezes — uma no país da fonte e outra no país de residência.</w:t>
      </w:r>
      <w:r w:rsidRPr="003725B6">
        <w:rPr>
          <w:vertAlign w:val="superscript"/>
        </w:rPr>
        <w:t>83</w:t>
      </w:r>
      <w:r w:rsidRPr="003725B6">
        <w:t xml:space="preserve"> É essencial que o agente mantenha uma base de dados atualizada dos países com os quais o Brasil possui acordos em vigor.</w:t>
      </w:r>
      <w:r w:rsidRPr="003725B6">
        <w:rPr>
          <w:vertAlign w:val="superscript"/>
        </w:rPr>
        <w:t>84</w:t>
      </w:r>
      <w:r w:rsidRPr="003725B6">
        <w:t xml:space="preserve"> Além disso, deve dominar os métodos práticos utilizados para eliminar a dupla tributação, que geralmente são o método da isenção (o país de residência isenta a renda obtida no exterior) ou o método do crédito tributário (o país de residência permite que o imposto pago no exterior seja deduzido do imposto devido localmente).</w:t>
      </w:r>
      <w:r w:rsidRPr="003725B6">
        <w:rPr>
          <w:vertAlign w:val="superscript"/>
        </w:rPr>
        <w:t>83</w:t>
      </w:r>
      <w:r w:rsidRPr="003725B6">
        <w:t xml:space="preserve"> Esses acordos são cruciais para proporcionar segurança jurídica e incentivar o investimento estrangeiro direto.</w:t>
      </w:r>
      <w:r w:rsidRPr="003725B6">
        <w:rPr>
          <w:vertAlign w:val="superscript"/>
        </w:rPr>
        <w:t>87</w:t>
      </w:r>
    </w:p>
    <w:p w14:paraId="533A9802" w14:textId="77777777" w:rsidR="003725B6" w:rsidRPr="003725B6" w:rsidRDefault="003725B6" w:rsidP="003725B6">
      <w:pPr>
        <w:numPr>
          <w:ilvl w:val="0"/>
          <w:numId w:val="10"/>
        </w:numPr>
      </w:pPr>
      <w:r w:rsidRPr="003725B6">
        <w:rPr>
          <w:b/>
          <w:bCs/>
        </w:rPr>
        <w:t>Preços de Transferência (</w:t>
      </w:r>
      <w:r w:rsidRPr="003725B6">
        <w:rPr>
          <w:b/>
          <w:bCs/>
          <w:i/>
          <w:iCs/>
        </w:rPr>
        <w:t>Transfer Pricing</w:t>
      </w:r>
      <w:r w:rsidRPr="003725B6">
        <w:rPr>
          <w:b/>
          <w:bCs/>
        </w:rPr>
        <w:t>):</w:t>
      </w:r>
      <w:r w:rsidRPr="003725B6">
        <w:t xml:space="preserve"> Este é um campo crítico da tributação internacional. O agente deve dominar as regras de preços de transferência do Brasil, que visam impedir que empresas multinacionais manipulem os preços de transações entre suas entidades vinculadas (localizadas em diferentes países) para transferir artificialmente lucros para jurisdições com tributação mais baixa. O conhecimento dessas regras é vital para a conformidade fiscal em operações comerciais e financeiras intragrupo.</w:t>
      </w:r>
    </w:p>
    <w:p w14:paraId="09E65DF8" w14:textId="77777777" w:rsidR="003725B6" w:rsidRPr="003725B6" w:rsidRDefault="003725B6" w:rsidP="003725B6">
      <w:pPr>
        <w:rPr>
          <w:b/>
          <w:bCs/>
        </w:rPr>
      </w:pPr>
      <w:r w:rsidRPr="003725B6">
        <w:rPr>
          <w:b/>
          <w:bCs/>
        </w:rPr>
        <w:t>Seção 3.5: O Impacto dos Acordos Comerciais: Mercosul-União Europeia e Outros</w:t>
      </w:r>
    </w:p>
    <w:p w14:paraId="65AFB361" w14:textId="77777777" w:rsidR="003725B6" w:rsidRPr="003725B6" w:rsidRDefault="003725B6" w:rsidP="003725B6">
      <w:r w:rsidRPr="003725B6">
        <w:t>Acordos comerciais alteram fundamentalmente as condições de acesso a mercados, e o agente deve ser capaz de interpretar seus termos e calcular seus impactos.</w:t>
      </w:r>
    </w:p>
    <w:p w14:paraId="20818A99" w14:textId="77777777" w:rsidR="003725B6" w:rsidRPr="003725B6" w:rsidRDefault="003725B6" w:rsidP="003725B6">
      <w:pPr>
        <w:numPr>
          <w:ilvl w:val="0"/>
          <w:numId w:val="11"/>
        </w:numPr>
      </w:pPr>
      <w:r w:rsidRPr="003725B6">
        <w:rPr>
          <w:b/>
          <w:bCs/>
        </w:rPr>
        <w:t>Acordos Vigentes:</w:t>
      </w:r>
      <w:r w:rsidRPr="003725B6">
        <w:t xml:space="preserve"> O agente deve ter conhecimento dos principais acordos comerciais do Brasil, com destaque para aqueles no âmbito do Mercosul (Acordo de Complementação Econômica nº 18) e da Associação Latino-Americana de Integração (ALADI).</w:t>
      </w:r>
      <w:r w:rsidRPr="003725B6">
        <w:rPr>
          <w:vertAlign w:val="superscript"/>
        </w:rPr>
        <w:t>85</w:t>
      </w:r>
    </w:p>
    <w:p w14:paraId="24AEDAD0" w14:textId="77777777" w:rsidR="003725B6" w:rsidRPr="003725B6" w:rsidRDefault="003725B6" w:rsidP="003725B6">
      <w:pPr>
        <w:numPr>
          <w:ilvl w:val="0"/>
          <w:numId w:val="11"/>
        </w:numPr>
      </w:pPr>
      <w:r w:rsidRPr="003725B6">
        <w:rPr>
          <w:b/>
          <w:bCs/>
        </w:rPr>
        <w:t>Acordo Mercosul-União Europeia:</w:t>
      </w:r>
      <w:r w:rsidRPr="003725B6">
        <w:t xml:space="preserve"> Este é um acordo de grande magnitude e complexidade. O agente deve compreender seu pilar central: a eliminação progressiva das tarifas de importação sobre mais de 90% dos bens comercializados entre os dois blocos, ao longo de um período de transição que pode chegar a 15 anos.</w:t>
      </w:r>
      <w:r w:rsidRPr="003725B6">
        <w:rPr>
          <w:vertAlign w:val="superscript"/>
        </w:rPr>
        <w:t>79</w:t>
      </w:r>
      <w:r w:rsidRPr="003725B6">
        <w:t xml:space="preserve"> É igualmente importante que o agente esteja ciente das controvérsias, dos potenciais impactos negativos para setores industriais brasileiros mais sensíveis e dos impactos positivos projetados para o agronegócio e para o crescimento do PIB.</w:t>
      </w:r>
      <w:r w:rsidRPr="003725B6">
        <w:rPr>
          <w:vertAlign w:val="superscript"/>
        </w:rPr>
        <w:t>79</w:t>
      </w:r>
      <w:r w:rsidRPr="003725B6">
        <w:t xml:space="preserve"> Um ponto jurídico crucial é que o acordo geralmente preserva a soberania dos países em matéria tributária, permitindo a aplicação de medidas contra a evasão fiscal, que prevalecem sobre as cláusulas gerais do tratado.</w:t>
      </w:r>
      <w:r w:rsidRPr="003725B6">
        <w:rPr>
          <w:vertAlign w:val="superscript"/>
        </w:rPr>
        <w:t>91</w:t>
      </w:r>
    </w:p>
    <w:p w14:paraId="630D1F1F" w14:textId="77777777" w:rsidR="003725B6" w:rsidRPr="003725B6" w:rsidRDefault="003725B6" w:rsidP="003725B6">
      <w:pPr>
        <w:rPr>
          <w:b/>
          <w:bCs/>
        </w:rPr>
      </w:pPr>
      <w:r w:rsidRPr="003725B6">
        <w:rPr>
          <w:b/>
          <w:bCs/>
        </w:rPr>
        <w:t>Parte IV: O Macroambiente - Análise Econômica para Contexto Estratégico</w:t>
      </w:r>
    </w:p>
    <w:p w14:paraId="096FE5FF" w14:textId="77777777" w:rsidR="003725B6" w:rsidRPr="003725B6" w:rsidRDefault="003725B6" w:rsidP="003725B6">
      <w:r w:rsidRPr="003725B6">
        <w:t>Esta parte eleva o agente do nível micro das transações corporativas para o nível macro do ambiente econômico. O agente deve ser capaz de interpretar sinais econômicos para fornecer contexto estratégico, transformando dados abstratos em riscos e oportunidades de negócios concretos.</w:t>
      </w:r>
    </w:p>
    <w:p w14:paraId="24D7132C" w14:textId="77777777" w:rsidR="003725B6" w:rsidRPr="003725B6" w:rsidRDefault="003725B6" w:rsidP="003725B6">
      <w:pPr>
        <w:rPr>
          <w:b/>
          <w:bCs/>
        </w:rPr>
      </w:pPr>
      <w:r w:rsidRPr="003725B6">
        <w:rPr>
          <w:b/>
          <w:bCs/>
        </w:rPr>
        <w:t>Seção 4.1: Lendo a Economia: Principais Indicadores Macroeconômicos (PIB, IPCA, Selic, Câmbio)</w:t>
      </w:r>
    </w:p>
    <w:p w14:paraId="6A0746EA" w14:textId="77777777" w:rsidR="003725B6" w:rsidRPr="003725B6" w:rsidRDefault="003725B6" w:rsidP="003725B6">
      <w:r w:rsidRPr="003725B6">
        <w:t>O domínio da linguagem da macroeconomia é essencial para que o agente possa contextualizar as decisões empresariais.</w:t>
      </w:r>
    </w:p>
    <w:p w14:paraId="3438673C" w14:textId="77777777" w:rsidR="003725B6" w:rsidRPr="003725B6" w:rsidRDefault="003725B6" w:rsidP="003725B6">
      <w:pPr>
        <w:numPr>
          <w:ilvl w:val="0"/>
          <w:numId w:val="12"/>
        </w:numPr>
      </w:pPr>
      <w:r w:rsidRPr="003725B6">
        <w:rPr>
          <w:b/>
          <w:bCs/>
        </w:rPr>
        <w:t>Produto Interno Bruto (PIB):</w:t>
      </w:r>
      <w:r w:rsidRPr="003725B6">
        <w:t xml:space="preserve"> O agente deve entender o PIB como a principal medida da atividade econômica e da saúde de um país, representando a soma de todos os bens e serviços finais produzidos em um determinado período.</w:t>
      </w:r>
      <w:r w:rsidRPr="003725B6">
        <w:rPr>
          <w:vertAlign w:val="superscript"/>
        </w:rPr>
        <w:t>93</w:t>
      </w:r>
      <w:r w:rsidRPr="003725B6">
        <w:t xml:space="preserve"> É necessário analisar sua taxa de crescimento, sua composição setorial (serviços, indústria, agropecuária) e compreender como um crescimento positivo ou negativo impacta o emprego, a renda e a confiança dos empresários e consumidores.</w:t>
      </w:r>
      <w:r w:rsidRPr="003725B6">
        <w:rPr>
          <w:vertAlign w:val="superscript"/>
        </w:rPr>
        <w:t>93</w:t>
      </w:r>
    </w:p>
    <w:p w14:paraId="72DD35AC" w14:textId="77777777" w:rsidR="003725B6" w:rsidRPr="003725B6" w:rsidRDefault="003725B6" w:rsidP="003725B6">
      <w:pPr>
        <w:numPr>
          <w:ilvl w:val="0"/>
          <w:numId w:val="12"/>
        </w:numPr>
      </w:pPr>
      <w:r w:rsidRPr="003725B6">
        <w:rPr>
          <w:b/>
          <w:bCs/>
        </w:rPr>
        <w:t>Índice Nacional de Preços ao Consumidor Amplo (IPCA):</w:t>
      </w:r>
      <w:r w:rsidRPr="003725B6">
        <w:t xml:space="preserve"> O agente deve reconhecer o IPCA como o índice oficial de inflação do Brasil, medindo a variação de preços de uma cesta de consumo de famílias de determinada faixa de renda.</w:t>
      </w:r>
      <w:r w:rsidRPr="003725B6">
        <w:rPr>
          <w:vertAlign w:val="superscript"/>
        </w:rPr>
        <w:t>95</w:t>
      </w:r>
      <w:r w:rsidRPr="003725B6">
        <w:t xml:space="preserve"> O monitoramento do IPCA e sua comparação com a meta de inflação estabelecida pelo Conselho Monetário Nacional são cruciais para entender a evolução do poder de compra e as pressões de custos sobre as empresas.</w:t>
      </w:r>
      <w:r w:rsidRPr="003725B6">
        <w:rPr>
          <w:vertAlign w:val="superscript"/>
        </w:rPr>
        <w:t>96</w:t>
      </w:r>
    </w:p>
    <w:p w14:paraId="2B60EF43" w14:textId="77777777" w:rsidR="003725B6" w:rsidRPr="003725B6" w:rsidRDefault="003725B6" w:rsidP="003725B6">
      <w:pPr>
        <w:numPr>
          <w:ilvl w:val="0"/>
          <w:numId w:val="12"/>
        </w:numPr>
      </w:pPr>
      <w:r w:rsidRPr="003725B6">
        <w:rPr>
          <w:b/>
          <w:bCs/>
        </w:rPr>
        <w:t>Taxa Selic:</w:t>
      </w:r>
      <w:r w:rsidRPr="003725B6">
        <w:t xml:space="preserve"> O agente deve compreender a Taxa Selic como a taxa básica de juros da economia brasileira, definida pelo Comitê de Política Monetária (Copom) do Banco Central.</w:t>
      </w:r>
      <w:r w:rsidRPr="003725B6">
        <w:rPr>
          <w:vertAlign w:val="superscript"/>
        </w:rPr>
        <w:t>97</w:t>
      </w:r>
      <w:r w:rsidRPr="003725B6">
        <w:t xml:space="preserve"> É fundamental conhecer a relação direta entre a Selic e a economia: uma elevação da taxa encarece o crédito, desestimula o consumo e o investimento e, assim, ajuda a controlar a inflação.</w:t>
      </w:r>
      <w:r w:rsidRPr="003725B6">
        <w:rPr>
          <w:vertAlign w:val="superscript"/>
        </w:rPr>
        <w:t>95</w:t>
      </w:r>
    </w:p>
    <w:p w14:paraId="40C7A6D8" w14:textId="77777777" w:rsidR="003725B6" w:rsidRPr="003725B6" w:rsidRDefault="003725B6" w:rsidP="003725B6">
      <w:pPr>
        <w:numPr>
          <w:ilvl w:val="0"/>
          <w:numId w:val="12"/>
        </w:numPr>
      </w:pPr>
      <w:r w:rsidRPr="003725B6">
        <w:rPr>
          <w:b/>
          <w:bCs/>
        </w:rPr>
        <w:t>Taxa de Câmbio:</w:t>
      </w:r>
      <w:r w:rsidRPr="003725B6">
        <w:t xml:space="preserve"> O agente deve monitorar continuamente a taxa de câmbio, especialmente a cotação do Real em relação ao Dólar Americano (USD/BRL). É preciso entender seu impacto direto nas operações das empresas: uma valorização do dólar (desvalorização do real) encarece os insumos importados, mas aumenta a receita em reais das empresas exportadoras.</w:t>
      </w:r>
      <w:r w:rsidRPr="003725B6">
        <w:rPr>
          <w:vertAlign w:val="superscript"/>
        </w:rPr>
        <w:t>94</w:t>
      </w:r>
    </w:p>
    <w:p w14:paraId="46588D93" w14:textId="77777777" w:rsidR="003725B6" w:rsidRPr="003725B6" w:rsidRDefault="003725B6" w:rsidP="003725B6">
      <w:pPr>
        <w:rPr>
          <w:b/>
          <w:bCs/>
        </w:rPr>
      </w:pPr>
      <w:r w:rsidRPr="003725B6">
        <w:rPr>
          <w:b/>
          <w:bCs/>
        </w:rPr>
        <w:t>Seção 4.2: Alavancas Governamentais: O Impacto das Políticas Monetária e Fiscal nas Operações Empresariais</w:t>
      </w:r>
    </w:p>
    <w:p w14:paraId="4E3C29D3" w14:textId="77777777" w:rsidR="003725B6" w:rsidRPr="003725B6" w:rsidRDefault="003725B6" w:rsidP="003725B6">
      <w:r w:rsidRPr="003725B6">
        <w:t>O agente deve ser capaz de analisar como as decisões do governo e do Banco Central afetam o ambiente de negócios.</w:t>
      </w:r>
    </w:p>
    <w:p w14:paraId="751D734B" w14:textId="77777777" w:rsidR="003725B6" w:rsidRPr="003725B6" w:rsidRDefault="003725B6" w:rsidP="003725B6">
      <w:pPr>
        <w:numPr>
          <w:ilvl w:val="0"/>
          <w:numId w:val="13"/>
        </w:numPr>
      </w:pPr>
      <w:r w:rsidRPr="003725B6">
        <w:rPr>
          <w:b/>
          <w:bCs/>
        </w:rPr>
        <w:t>Política Monetária:</w:t>
      </w:r>
      <w:r w:rsidRPr="003725B6">
        <w:t xml:space="preserve"> Gerenciada pelo Banco Central, a política monetária utiliza principalmente a Taxa Selic como instrumento para controlar a oferta de moeda, influenciando a inflação e a atividade econômica.</w:t>
      </w:r>
      <w:r w:rsidRPr="003725B6">
        <w:rPr>
          <w:vertAlign w:val="superscript"/>
        </w:rPr>
        <w:t>98</w:t>
      </w:r>
      <w:r w:rsidRPr="003725B6">
        <w:t xml:space="preserve"> O agente precisa entender os canais de transmissão da política monetária: como uma alteração na Selic afeta as decisões de investimento das empresas, o consumo das famílias, a taxa de câmbio e os preços dos ativos financeiros.</w:t>
      </w:r>
      <w:r w:rsidRPr="003725B6">
        <w:rPr>
          <w:vertAlign w:val="superscript"/>
        </w:rPr>
        <w:t>98</w:t>
      </w:r>
    </w:p>
    <w:p w14:paraId="05DCF6D1" w14:textId="77777777" w:rsidR="003725B6" w:rsidRPr="003725B6" w:rsidRDefault="003725B6" w:rsidP="003725B6">
      <w:pPr>
        <w:numPr>
          <w:ilvl w:val="0"/>
          <w:numId w:val="13"/>
        </w:numPr>
      </w:pPr>
      <w:r w:rsidRPr="003725B6">
        <w:rPr>
          <w:b/>
          <w:bCs/>
        </w:rPr>
        <w:t>Política Fiscal:</w:t>
      </w:r>
      <w:r w:rsidRPr="003725B6">
        <w:t xml:space="preserve"> O agente deve compreender a política fiscal como o uso dos gastos públicos e da tributação pelo governo para influenciar a economia.</w:t>
      </w:r>
      <w:r w:rsidRPr="003725B6">
        <w:rPr>
          <w:vertAlign w:val="superscript"/>
        </w:rPr>
        <w:t>99</w:t>
      </w:r>
      <w:r w:rsidRPr="003725B6">
        <w:t xml:space="preserve"> Uma política fiscal expansionista (aumento de gastos ou redução de impostos) tende a estimular o crescimento no curto prazo, enquanto uma política contracionista (corte de gastos ou aumento de impostos) pode frear a economia para combater a inflação.</w:t>
      </w:r>
      <w:r w:rsidRPr="003725B6">
        <w:rPr>
          <w:vertAlign w:val="superscript"/>
        </w:rPr>
        <w:t>100</w:t>
      </w:r>
    </w:p>
    <w:p w14:paraId="08F55911" w14:textId="77777777" w:rsidR="003725B6" w:rsidRPr="003725B6" w:rsidRDefault="003725B6" w:rsidP="003725B6">
      <w:pPr>
        <w:rPr>
          <w:b/>
          <w:bCs/>
        </w:rPr>
      </w:pPr>
      <w:r w:rsidRPr="003725B6">
        <w:rPr>
          <w:b/>
          <w:bCs/>
        </w:rPr>
        <w:t>Seção 4.3: Dinâmicas de Mercado: Aplicando a Lei da Oferta e da Procura e Analisando Estruturas de Mercado</w:t>
      </w:r>
    </w:p>
    <w:p w14:paraId="476689F0" w14:textId="77777777" w:rsidR="003725B6" w:rsidRPr="003725B6" w:rsidRDefault="003725B6" w:rsidP="003725B6">
      <w:r w:rsidRPr="003725B6">
        <w:t>O conhecimento dos princípios microeconômicos fundamentais permite ao agente entender a formação de preços e a dinâmica competitiva de qualquer setor.</w:t>
      </w:r>
    </w:p>
    <w:p w14:paraId="43C68ED5" w14:textId="77777777" w:rsidR="003725B6" w:rsidRPr="003725B6" w:rsidRDefault="003725B6" w:rsidP="003725B6">
      <w:pPr>
        <w:numPr>
          <w:ilvl w:val="0"/>
          <w:numId w:val="14"/>
        </w:numPr>
      </w:pPr>
      <w:r w:rsidRPr="003725B6">
        <w:rPr>
          <w:b/>
          <w:bCs/>
        </w:rPr>
        <w:t>Lei da Oferta e da Procura:</w:t>
      </w:r>
      <w:r w:rsidRPr="003725B6">
        <w:t xml:space="preserve"> O agente deve ter um entendimento profundo deste princípio econômico central: os preços em um mercado competitivo são determinados pelo ponto de equilíbrio entre a quantidade de um bem que os produtores estão dispostos a vender (oferta) e a quantidade que os consumidores desejam comprar (demanda).</w:t>
      </w:r>
      <w:r w:rsidRPr="003725B6">
        <w:rPr>
          <w:vertAlign w:val="superscript"/>
        </w:rPr>
        <w:t>101</w:t>
      </w:r>
      <w:r w:rsidRPr="003725B6">
        <w:t xml:space="preserve"> Com base nisso, o agente deve ser capaz de prever os movimentos de preços decorrentes de choques de oferta (por exemplo, uma quebra de safra) ou de demanda (por exemplo, uma mudança no comportamento do consumidor).</w:t>
      </w:r>
      <w:r w:rsidRPr="003725B6">
        <w:rPr>
          <w:vertAlign w:val="superscript"/>
        </w:rPr>
        <w:t>103</w:t>
      </w:r>
    </w:p>
    <w:p w14:paraId="336268A2" w14:textId="77777777" w:rsidR="003725B6" w:rsidRPr="003725B6" w:rsidRDefault="003725B6" w:rsidP="003725B6">
      <w:pPr>
        <w:numPr>
          <w:ilvl w:val="0"/>
          <w:numId w:val="14"/>
        </w:numPr>
      </w:pPr>
      <w:r w:rsidRPr="003725B6">
        <w:rPr>
          <w:b/>
          <w:bCs/>
        </w:rPr>
        <w:t>Estruturas de Mercado:</w:t>
      </w:r>
      <w:r w:rsidRPr="003725B6">
        <w:t xml:space="preserve"> É necessário que o agente diferencie as principais estruturas de mercado — concorrência perfeita, monopólio, oligopólio e concorrência monopolística. Cada estrutura implica diferentes níveis de poder de precificação para as empresas e diferentes estratégias competitivas a serem adotadas.</w:t>
      </w:r>
      <w:r w:rsidRPr="003725B6">
        <w:rPr>
          <w:vertAlign w:val="superscript"/>
        </w:rPr>
        <w:t>104</w:t>
      </w:r>
    </w:p>
    <w:p w14:paraId="6154CDDD" w14:textId="77777777" w:rsidR="003725B6" w:rsidRPr="003725B6" w:rsidRDefault="003725B6" w:rsidP="003725B6">
      <w:pPr>
        <w:rPr>
          <w:b/>
          <w:bCs/>
        </w:rPr>
      </w:pPr>
      <w:r w:rsidRPr="003725B6">
        <w:rPr>
          <w:b/>
          <w:bCs/>
        </w:rPr>
        <w:t>Seção 4.4: Análise de Conjuntura: Métodos e Fontes para Avaliação Econômica em Tempo Real</w:t>
      </w:r>
    </w:p>
    <w:p w14:paraId="0D6A8E46" w14:textId="77777777" w:rsidR="003725B6" w:rsidRPr="003725B6" w:rsidRDefault="003725B6" w:rsidP="003725B6">
      <w:r w:rsidRPr="003725B6">
        <w:t>A capacidade de realizar uma análise de conjuntura qualificada é o que permite ao agente fornecer um contexto estratégico atualizado.</w:t>
      </w:r>
    </w:p>
    <w:p w14:paraId="4BE0D7FD" w14:textId="77777777" w:rsidR="003725B6" w:rsidRPr="003725B6" w:rsidRDefault="003725B6" w:rsidP="003725B6">
      <w:pPr>
        <w:numPr>
          <w:ilvl w:val="0"/>
          <w:numId w:val="15"/>
        </w:numPr>
      </w:pPr>
      <w:r w:rsidRPr="003725B6">
        <w:rPr>
          <w:b/>
          <w:bCs/>
        </w:rPr>
        <w:t>Metodologia:</w:t>
      </w:r>
      <w:r w:rsidRPr="003725B6">
        <w:t xml:space="preserve"> O agente deve ser programado para realizar uma análise estruturada do cenário econômico atual ("análise de conjuntura").</w:t>
      </w:r>
      <w:r w:rsidRPr="003725B6">
        <w:rPr>
          <w:vertAlign w:val="superscript"/>
        </w:rPr>
        <w:t>105</w:t>
      </w:r>
      <w:r w:rsidRPr="003725B6">
        <w:t xml:space="preserve"> Isso envolve a formulação de uma pergunta específica (por exemplo, "Quais os impactos da atual política de juros no setor varejista?"), a coleta sistemática de dados de múltiplas fontes e a construção de um arcabouço interpretativo para responder à pergunta.</w:t>
      </w:r>
      <w:r w:rsidRPr="003725B6">
        <w:rPr>
          <w:vertAlign w:val="superscript"/>
        </w:rPr>
        <w:t>105</w:t>
      </w:r>
    </w:p>
    <w:p w14:paraId="0BCAE678" w14:textId="77777777" w:rsidR="003725B6" w:rsidRPr="003725B6" w:rsidRDefault="003725B6" w:rsidP="003725B6">
      <w:pPr>
        <w:numPr>
          <w:ilvl w:val="0"/>
          <w:numId w:val="15"/>
        </w:numPr>
      </w:pPr>
      <w:r w:rsidRPr="003725B6">
        <w:rPr>
          <w:b/>
          <w:bCs/>
        </w:rPr>
        <w:t>Fontes de Dados:</w:t>
      </w:r>
      <w:r w:rsidRPr="003725B6">
        <w:t xml:space="preserve"> Para ser eficaz, o agente deve estar conectado a um fluxo contínuo de dados das principais fontes oficiais e de mercado, incluindo:</w:t>
      </w:r>
    </w:p>
    <w:p w14:paraId="01F8501B" w14:textId="77777777" w:rsidR="003725B6" w:rsidRPr="003725B6" w:rsidRDefault="003725B6" w:rsidP="003725B6">
      <w:pPr>
        <w:numPr>
          <w:ilvl w:val="1"/>
          <w:numId w:val="15"/>
        </w:numPr>
      </w:pPr>
      <w:r w:rsidRPr="003725B6">
        <w:rPr>
          <w:b/>
          <w:bCs/>
        </w:rPr>
        <w:t>Banco Central do Brasil (BCB):</w:t>
      </w:r>
      <w:r w:rsidRPr="003725B6">
        <w:t xml:space="preserve"> Para o Boletim Focus (que compila as expectativas do mercado), decisões sobre a Taxa Selic, estatísticas de crédito e balanço de pagamentos.</w:t>
      </w:r>
      <w:r w:rsidRPr="003725B6">
        <w:rPr>
          <w:vertAlign w:val="superscript"/>
        </w:rPr>
        <w:t>107</w:t>
      </w:r>
    </w:p>
    <w:p w14:paraId="2E25CC5D" w14:textId="77777777" w:rsidR="003725B6" w:rsidRPr="003725B6" w:rsidRDefault="003725B6" w:rsidP="003725B6">
      <w:pPr>
        <w:numPr>
          <w:ilvl w:val="1"/>
          <w:numId w:val="15"/>
        </w:numPr>
      </w:pPr>
      <w:r w:rsidRPr="003725B6">
        <w:rPr>
          <w:b/>
          <w:bCs/>
        </w:rPr>
        <w:t>Instituto Brasileiro de Geografia e Estatística (IBGE):</w:t>
      </w:r>
      <w:r w:rsidRPr="003725B6">
        <w:t xml:space="preserve"> Fonte primária para dados oficiais de PIB, IPCA e desemprego (através da PNAD Contínua).</w:t>
      </w:r>
      <w:r w:rsidRPr="003725B6">
        <w:rPr>
          <w:vertAlign w:val="superscript"/>
        </w:rPr>
        <w:t>107</w:t>
      </w:r>
    </w:p>
    <w:p w14:paraId="7B1DDA3C" w14:textId="77777777" w:rsidR="003725B6" w:rsidRPr="003725B6" w:rsidRDefault="003725B6" w:rsidP="003725B6">
      <w:pPr>
        <w:numPr>
          <w:ilvl w:val="1"/>
          <w:numId w:val="15"/>
        </w:numPr>
      </w:pPr>
      <w:r w:rsidRPr="003725B6">
        <w:rPr>
          <w:b/>
          <w:bCs/>
        </w:rPr>
        <w:t>Instituto de Pesquisa Econômica Aplicada (IPEA):</w:t>
      </w:r>
      <w:r w:rsidRPr="003725B6">
        <w:t xml:space="preserve"> Para acesso ao IPEADATA, um vasto banco de dados com séries históricas da economia brasileira.</w:t>
      </w:r>
      <w:r w:rsidRPr="003725B6">
        <w:rPr>
          <w:vertAlign w:val="superscript"/>
        </w:rPr>
        <w:t>107</w:t>
      </w:r>
    </w:p>
    <w:p w14:paraId="434A2775" w14:textId="77777777" w:rsidR="003725B6" w:rsidRPr="003725B6" w:rsidRDefault="003725B6" w:rsidP="003725B6">
      <w:pPr>
        <w:numPr>
          <w:ilvl w:val="1"/>
          <w:numId w:val="15"/>
        </w:numPr>
      </w:pPr>
      <w:r w:rsidRPr="003725B6">
        <w:rPr>
          <w:b/>
          <w:bCs/>
        </w:rPr>
        <w:t>Secretaria de Política Econômica (SPE) do Ministério da Fazenda:</w:t>
      </w:r>
      <w:r w:rsidRPr="003725B6">
        <w:t xml:space="preserve"> Para relatórios e informativos sobre a conjuntura econômica, atividade, inflação e política fiscal.</w:t>
      </w:r>
      <w:r w:rsidRPr="003725B6">
        <w:rPr>
          <w:vertAlign w:val="superscript"/>
        </w:rPr>
        <w:t>108</w:t>
      </w:r>
    </w:p>
    <w:p w14:paraId="0ED8907E" w14:textId="77777777" w:rsidR="003725B6" w:rsidRPr="003725B6" w:rsidRDefault="003725B6" w:rsidP="003725B6">
      <w:r w:rsidRPr="003725B6">
        <w:t xml:space="preserve">A função econômica do agente não é simplesmente relatar indicadores, mas atuar como uma camada de tradução, convertendo mudanças macroeconômicas abstratas em riscos e oportunidades específicos e acionáveis para uma empresa. Quando o Copom eleva a Taxa Selic </w:t>
      </w:r>
      <w:r w:rsidRPr="003725B6">
        <w:rPr>
          <w:vertAlign w:val="superscript"/>
        </w:rPr>
        <w:t>97</w:t>
      </w:r>
      <w:r w:rsidRPr="003725B6">
        <w:t xml:space="preserve">, o agente não deve apenas informar que "os juros subiram". Ele deve iniciar uma análise multifacetada e em cascata: 1) </w:t>
      </w:r>
    </w:p>
    <w:p w14:paraId="252BF536" w14:textId="77777777" w:rsidR="003725B6" w:rsidRPr="003725B6" w:rsidRDefault="003725B6" w:rsidP="003725B6">
      <w:r w:rsidRPr="003725B6">
        <w:rPr>
          <w:b/>
          <w:bCs/>
        </w:rPr>
        <w:t>Impacto Financeiro:</w:t>
      </w:r>
      <w:r w:rsidRPr="003725B6">
        <w:t xml:space="preserve"> Recalcular imediatamente o custo da dívida da empresa, especialmente os empréstimos atrelados a taxas variáveis, e aconselhar o departamento financeiro a priorizar a quitação desses passivos. 2) </w:t>
      </w:r>
      <w:r w:rsidRPr="003725B6">
        <w:rPr>
          <w:b/>
          <w:bCs/>
        </w:rPr>
        <w:t>Impacto em Investimentos:</w:t>
      </w:r>
      <w:r w:rsidRPr="003725B6">
        <w:t xml:space="preserve"> Aumentar a taxa de desconto (relacionada ao WACC) usada nas análises de VPL e TIR para novos projetos, o que pode tornar inviáveis projetos que antes eram atraentes. 3) </w:t>
      </w:r>
      <w:r w:rsidRPr="003725B6">
        <w:rPr>
          <w:b/>
          <w:bCs/>
        </w:rPr>
        <w:t>Impacto nas Vendas:</w:t>
      </w:r>
      <w:r w:rsidRPr="003725B6">
        <w:t xml:space="preserve"> Prever uma potencial desaceleração na demanda dos consumidores, uma vez que o crédito se torna mais caro, e alertar a equipe de vendas para ajustar suas previsões. 4) </w:t>
      </w:r>
      <w:r w:rsidRPr="003725B6">
        <w:rPr>
          <w:b/>
          <w:bCs/>
        </w:rPr>
        <w:t>Impacto Cambial:</w:t>
      </w:r>
      <w:r w:rsidRPr="003725B6">
        <w:t xml:space="preserve"> Uma Selic mais alta pode fortalecer o Real.</w:t>
      </w:r>
      <w:r w:rsidRPr="003725B6">
        <w:rPr>
          <w:vertAlign w:val="superscript"/>
        </w:rPr>
        <w:t>98</w:t>
      </w:r>
      <w:r w:rsidRPr="003725B6">
        <w:t xml:space="preserve"> O agente deve notificar o departamento de compras que os custos de importação podem diminuir e o departamento de vendas que a competitividade das exportações pode ser reduzida. Este processo demonstra uma cadeia de causalidade, partindo de um único evento macroeconômico para múltiplas e concretas decisões operacionais e estratégicas.</w:t>
      </w:r>
    </w:p>
    <w:p w14:paraId="226ADE61" w14:textId="77777777" w:rsidR="003725B6" w:rsidRPr="003725B6" w:rsidRDefault="003725B6" w:rsidP="003725B6">
      <w:pPr>
        <w:rPr>
          <w:b/>
          <w:bCs/>
        </w:rPr>
      </w:pPr>
      <w:r w:rsidRPr="003725B6">
        <w:rPr>
          <w:b/>
          <w:bCs/>
        </w:rPr>
        <w:t>Parte V: O Núcleo Estratégico - Finanças Corporativas e Criação de Valor</w:t>
      </w:r>
    </w:p>
    <w:p w14:paraId="78E1E6D5" w14:textId="77777777" w:rsidR="003725B6" w:rsidRPr="003725B6" w:rsidRDefault="003725B6" w:rsidP="003725B6">
      <w:r w:rsidRPr="003725B6">
        <w:t>Nesta parte, o agente assume o papel de um consultor financeiro estratégico ou CFO. Ele aplica seu conhecimento fundamental a tarefas de ordem superior, como a gestão eficiente de recursos, a avaliação de oportunidades de crescimento e, em última análise, a maximização do valor da empresa.</w:t>
      </w:r>
    </w:p>
    <w:p w14:paraId="0D61710B" w14:textId="77777777" w:rsidR="003725B6" w:rsidRPr="003725B6" w:rsidRDefault="003725B6" w:rsidP="003725B6">
      <w:pPr>
        <w:rPr>
          <w:b/>
          <w:bCs/>
        </w:rPr>
      </w:pPr>
      <w:r w:rsidRPr="003725B6">
        <w:rPr>
          <w:b/>
          <w:bCs/>
        </w:rPr>
        <w:t>Seção 5.1: Liquidez Operacional: Gestão Avançada do Capital de Giro</w:t>
      </w:r>
    </w:p>
    <w:p w14:paraId="6E3A699E" w14:textId="77777777" w:rsidR="003725B6" w:rsidRPr="003725B6" w:rsidRDefault="003725B6" w:rsidP="003725B6">
      <w:r w:rsidRPr="003725B6">
        <w:t>A gestão do capital de giro é essencial para a sobrevivência e a saúde financeira de curto prazo de qualquer negócio.</w:t>
      </w:r>
    </w:p>
    <w:p w14:paraId="51F2BC32" w14:textId="77777777" w:rsidR="003725B6" w:rsidRPr="003725B6" w:rsidRDefault="003725B6" w:rsidP="003725B6">
      <w:pPr>
        <w:numPr>
          <w:ilvl w:val="0"/>
          <w:numId w:val="16"/>
        </w:numPr>
      </w:pPr>
      <w:r w:rsidRPr="003725B6">
        <w:rPr>
          <w:b/>
          <w:bCs/>
        </w:rPr>
        <w:t>Conceitos Fundamentais:</w:t>
      </w:r>
      <w:r w:rsidRPr="003725B6">
        <w:t xml:space="preserve"> O agente deve compreender o capital de giro como o "oxigênio" da empresa, representando os recursos financeiros necessários para manter as operações diárias, como pagar fornecedores, salários e despesas correntes.</w:t>
      </w:r>
      <w:r w:rsidRPr="003725B6">
        <w:rPr>
          <w:vertAlign w:val="superscript"/>
        </w:rPr>
        <w:t>109</w:t>
      </w:r>
      <w:r w:rsidRPr="003725B6">
        <w:t xml:space="preserve"> Matematicamente, é calculado como a diferença entre os ativos circulantes e os passivos circulantes (</w:t>
      </w:r>
    </w:p>
    <w:p w14:paraId="682AB649" w14:textId="77777777" w:rsidR="003725B6" w:rsidRPr="003725B6" w:rsidRDefault="003725B6" w:rsidP="003725B6">
      <w:r w:rsidRPr="003725B6">
        <w:t>CGL=AC−PC).</w:t>
      </w:r>
      <w:r w:rsidRPr="003725B6">
        <w:rPr>
          <w:vertAlign w:val="superscript"/>
        </w:rPr>
        <w:t>111</w:t>
      </w:r>
    </w:p>
    <w:p w14:paraId="499FEC7B" w14:textId="77777777" w:rsidR="003725B6" w:rsidRPr="003725B6" w:rsidRDefault="003725B6" w:rsidP="003725B6">
      <w:pPr>
        <w:numPr>
          <w:ilvl w:val="0"/>
          <w:numId w:val="16"/>
        </w:numPr>
      </w:pPr>
      <w:r w:rsidRPr="003725B6">
        <w:rPr>
          <w:b/>
          <w:bCs/>
        </w:rPr>
        <w:t>Tipos de Capital de Giro:</w:t>
      </w:r>
      <w:r w:rsidRPr="003725B6">
        <w:t xml:space="preserve"> É crucial que o agente diferencie os vários conceitos de capital de giro:</w:t>
      </w:r>
    </w:p>
    <w:p w14:paraId="173FFBFC" w14:textId="77777777" w:rsidR="003725B6" w:rsidRPr="003725B6" w:rsidRDefault="003725B6" w:rsidP="003725B6">
      <w:pPr>
        <w:numPr>
          <w:ilvl w:val="1"/>
          <w:numId w:val="16"/>
        </w:numPr>
      </w:pPr>
      <w:r w:rsidRPr="003725B6">
        <w:rPr>
          <w:b/>
          <w:bCs/>
        </w:rPr>
        <w:t>Capital de Giro Líquido (CGL):</w:t>
      </w:r>
      <w:r w:rsidRPr="003725B6">
        <w:t xml:space="preserve"> A métrica mais comum, que indica a folga financeira de curto prazo da empresa.</w:t>
      </w:r>
      <w:r w:rsidRPr="003725B6">
        <w:rPr>
          <w:vertAlign w:val="superscript"/>
        </w:rPr>
        <w:t>112</w:t>
      </w:r>
    </w:p>
    <w:p w14:paraId="0CB2A919" w14:textId="77777777" w:rsidR="003725B6" w:rsidRPr="003725B6" w:rsidRDefault="003725B6" w:rsidP="003725B6">
      <w:pPr>
        <w:numPr>
          <w:ilvl w:val="1"/>
          <w:numId w:val="16"/>
        </w:numPr>
      </w:pPr>
      <w:r w:rsidRPr="003725B6">
        <w:rPr>
          <w:b/>
          <w:bCs/>
        </w:rPr>
        <w:t>Capital de Giro Próprio:</w:t>
      </w:r>
      <w:r w:rsidRPr="003725B6">
        <w:t xml:space="preserve"> Quando os recursos próprios da empresa são suficientes para financiar suas necessidades operacionais, sem depender de capital de terceiros.</w:t>
      </w:r>
      <w:r w:rsidRPr="003725B6">
        <w:rPr>
          <w:vertAlign w:val="superscript"/>
        </w:rPr>
        <w:t>112</w:t>
      </w:r>
    </w:p>
    <w:p w14:paraId="3D0DE08D" w14:textId="77777777" w:rsidR="003725B6" w:rsidRPr="003725B6" w:rsidRDefault="003725B6" w:rsidP="003725B6">
      <w:pPr>
        <w:numPr>
          <w:ilvl w:val="1"/>
          <w:numId w:val="16"/>
        </w:numPr>
      </w:pPr>
      <w:r w:rsidRPr="003725B6">
        <w:rPr>
          <w:b/>
          <w:bCs/>
        </w:rPr>
        <w:t>Capital de Giro Negativo:</w:t>
      </w:r>
      <w:r w:rsidRPr="003725B6">
        <w:t xml:space="preserve"> Um sinal de alerta que indica que as obrigações de curto prazo superam os ativos de maior liquidez, podendo levar a uma crise de liquidez.</w:t>
      </w:r>
      <w:r w:rsidRPr="003725B6">
        <w:rPr>
          <w:vertAlign w:val="superscript"/>
        </w:rPr>
        <w:t>112</w:t>
      </w:r>
    </w:p>
    <w:p w14:paraId="586C4B1A" w14:textId="77777777" w:rsidR="003725B6" w:rsidRPr="003725B6" w:rsidRDefault="003725B6" w:rsidP="003725B6">
      <w:pPr>
        <w:numPr>
          <w:ilvl w:val="0"/>
          <w:numId w:val="16"/>
        </w:numPr>
      </w:pPr>
      <w:r w:rsidRPr="003725B6">
        <w:rPr>
          <w:b/>
          <w:bCs/>
        </w:rPr>
        <w:t>Gestão Estratégica:</w:t>
      </w:r>
      <w:r w:rsidRPr="003725B6">
        <w:t xml:space="preserve"> O agente deve ser capaz de implementar e monitorar estratégias para otimizar o capital de giro. Isso inclui a negociação de prazos de pagamento mais longos com fornecedores, a redução dos prazos de recebimento de clientes (através de políticas de crédito e cobrança eficientes) e uma gestão de estoques otimizada para evitar o excesso de capital imobilizado em produtos parados.</w:t>
      </w:r>
      <w:r w:rsidRPr="003725B6">
        <w:rPr>
          <w:vertAlign w:val="superscript"/>
        </w:rPr>
        <w:t>111</w:t>
      </w:r>
    </w:p>
    <w:p w14:paraId="4D8A0208" w14:textId="77777777" w:rsidR="003725B6" w:rsidRPr="003725B6" w:rsidRDefault="003725B6" w:rsidP="003725B6">
      <w:pPr>
        <w:rPr>
          <w:b/>
          <w:bCs/>
        </w:rPr>
      </w:pPr>
      <w:r w:rsidRPr="003725B6">
        <w:rPr>
          <w:b/>
          <w:bCs/>
        </w:rPr>
        <w:t>Seção 5.2: Tomada de Decisão de Investimento: Análise de VPL, TIR e Payback</w:t>
      </w:r>
    </w:p>
    <w:p w14:paraId="427CC1BA" w14:textId="77777777" w:rsidR="003725B6" w:rsidRPr="003725B6" w:rsidRDefault="003725B6" w:rsidP="003725B6">
      <w:r w:rsidRPr="003725B6">
        <w:t>A alocação de capital em projetos de longo prazo é uma das decisões mais importantes que uma empresa toma. O agente deve ser um especialista nas ferramentas quantitativas que suportam essa decisão.</w:t>
      </w:r>
    </w:p>
    <w:p w14:paraId="4720C7B9" w14:textId="77777777" w:rsidR="003725B6" w:rsidRPr="003725B6" w:rsidRDefault="003725B6" w:rsidP="003725B6">
      <w:pPr>
        <w:numPr>
          <w:ilvl w:val="0"/>
          <w:numId w:val="17"/>
        </w:numPr>
      </w:pPr>
      <w:r w:rsidRPr="003725B6">
        <w:rPr>
          <w:b/>
          <w:bCs/>
        </w:rPr>
        <w:t>Metodologias Centrais:</w:t>
      </w:r>
      <w:r w:rsidRPr="003725B6">
        <w:t xml:space="preserve"> O agente deve dominar as principais técnicas de orçamento de capital para avaliar a viabilidade de projetos de investimento.</w:t>
      </w:r>
      <w:r w:rsidRPr="003725B6">
        <w:rPr>
          <w:vertAlign w:val="superscript"/>
        </w:rPr>
        <w:t>117</w:t>
      </w:r>
    </w:p>
    <w:p w14:paraId="4F9AE52A" w14:textId="77777777" w:rsidR="003725B6" w:rsidRPr="003725B6" w:rsidRDefault="003725B6" w:rsidP="003725B6">
      <w:pPr>
        <w:numPr>
          <w:ilvl w:val="1"/>
          <w:numId w:val="17"/>
        </w:numPr>
      </w:pPr>
      <w:r w:rsidRPr="003725B6">
        <w:rPr>
          <w:b/>
          <w:bCs/>
        </w:rPr>
        <w:t>Valor Presente Líquido (VPL):</w:t>
      </w:r>
      <w:r w:rsidRPr="003725B6">
        <w:t xml:space="preserve"> Esta técnica consiste em calcular o valor presente de todos os fluxos de caixa futuros esperados de um projeto, utilizando uma taxa de desconto apropriada (geralmente o WACC), e subtrair o investimento inicial. Um VPL positivo indica que o projeto cria valor para a empresa e deve ser aceito.</w:t>
      </w:r>
      <w:r w:rsidRPr="003725B6">
        <w:rPr>
          <w:vertAlign w:val="superscript"/>
        </w:rPr>
        <w:t>117</w:t>
      </w:r>
    </w:p>
    <w:p w14:paraId="045657C0" w14:textId="77777777" w:rsidR="003725B6" w:rsidRPr="003725B6" w:rsidRDefault="003725B6" w:rsidP="003725B6">
      <w:pPr>
        <w:numPr>
          <w:ilvl w:val="1"/>
          <w:numId w:val="17"/>
        </w:numPr>
      </w:pPr>
      <w:r w:rsidRPr="003725B6">
        <w:rPr>
          <w:b/>
          <w:bCs/>
        </w:rPr>
        <w:t>Taxa Interna de Retorno (TIR):</w:t>
      </w:r>
      <w:r w:rsidRPr="003725B6">
        <w:t xml:space="preserve"> A TIR é a taxa de desconto que torna o VPL de um projeto igual a zero. Um projeto é considerado viável se sua TIR for superior à Taxa Mínima de Atratividade (TMA) da empresa, que representa o custo de capital.</w:t>
      </w:r>
      <w:r w:rsidRPr="003725B6">
        <w:rPr>
          <w:vertAlign w:val="superscript"/>
        </w:rPr>
        <w:t>117</w:t>
      </w:r>
    </w:p>
    <w:p w14:paraId="7F710BE8" w14:textId="77777777" w:rsidR="003725B6" w:rsidRPr="003725B6" w:rsidRDefault="003725B6" w:rsidP="003725B6">
      <w:pPr>
        <w:numPr>
          <w:ilvl w:val="1"/>
          <w:numId w:val="17"/>
        </w:numPr>
      </w:pPr>
      <w:r w:rsidRPr="003725B6">
        <w:rPr>
          <w:b/>
          <w:bCs/>
        </w:rPr>
        <w:t>Payback:</w:t>
      </w:r>
      <w:r w:rsidRPr="003725B6">
        <w:t xml:space="preserve"> Esta métrica, mais simples, calcula o tempo necessário para que os fluxos de caixa gerados pelo projeto recuperem o valor do investimento inicial. Embora não considere o valor do dinheiro no tempo, é útil para avaliar o risco e a liquidez de um projeto.</w:t>
      </w:r>
      <w:r w:rsidRPr="003725B6">
        <w:rPr>
          <w:vertAlign w:val="superscript"/>
        </w:rPr>
        <w:t>118</w:t>
      </w:r>
    </w:p>
    <w:p w14:paraId="2EE2B519" w14:textId="77777777" w:rsidR="003725B6" w:rsidRPr="003725B6" w:rsidRDefault="003725B6" w:rsidP="003725B6">
      <w:pPr>
        <w:rPr>
          <w:b/>
          <w:bCs/>
        </w:rPr>
      </w:pPr>
      <w:r w:rsidRPr="003725B6">
        <w:rPr>
          <w:b/>
          <w:bCs/>
        </w:rPr>
        <w:t>Seção 5.3: Determinando o Valor Corporativo: Metodologias de Valuation</w:t>
      </w:r>
    </w:p>
    <w:p w14:paraId="4A4A56A0" w14:textId="77777777" w:rsidR="003725B6" w:rsidRPr="003725B6" w:rsidRDefault="003725B6" w:rsidP="003725B6">
      <w:r w:rsidRPr="003725B6">
        <w:t>Avaliar o valor de uma empresa é uma tarefa complexa que exige a aplicação de múltiplas metodologias.</w:t>
      </w:r>
    </w:p>
    <w:p w14:paraId="20EA0A19" w14:textId="77777777" w:rsidR="003725B6" w:rsidRPr="003725B6" w:rsidRDefault="003725B6" w:rsidP="003725B6">
      <w:pPr>
        <w:numPr>
          <w:ilvl w:val="0"/>
          <w:numId w:val="18"/>
        </w:numPr>
      </w:pPr>
      <w:r w:rsidRPr="003725B6">
        <w:rPr>
          <w:b/>
          <w:bCs/>
        </w:rPr>
        <w:t>Fluxo de Caixa Descontado (FCD):</w:t>
      </w:r>
      <w:r w:rsidRPr="003725B6">
        <w:t xml:space="preserve"> Considerado o método mais robusto e academicamente aceito, o FCD (ou DCF, em inglês) envolve projetar os fluxos de caixa livres futuros da empresa, estimar um valor terminal (perpetuidade) e descontar esses valores ao presente, utilizando o Custo Médio Ponderado de Capital (WACC) como taxa de desconto. O resultado é o valor intrínseco da empresa.</w:t>
      </w:r>
      <w:r w:rsidRPr="003725B6">
        <w:rPr>
          <w:vertAlign w:val="superscript"/>
        </w:rPr>
        <w:t>123</w:t>
      </w:r>
    </w:p>
    <w:p w14:paraId="4D922FFB" w14:textId="77777777" w:rsidR="003725B6" w:rsidRPr="003725B6" w:rsidRDefault="003725B6" w:rsidP="003725B6">
      <w:pPr>
        <w:numPr>
          <w:ilvl w:val="0"/>
          <w:numId w:val="18"/>
        </w:numPr>
      </w:pPr>
      <w:r w:rsidRPr="003725B6">
        <w:rPr>
          <w:b/>
          <w:bCs/>
        </w:rPr>
        <w:t>Múltiplos de Mercado:</w:t>
      </w:r>
      <w:r w:rsidRPr="003725B6">
        <w:t xml:space="preserve"> O agente deve ser capaz de realizar uma avaliação relativa, comparando a empresa com outras companhias similares de capital aberto. Isso é feito através do uso de múltiplos, como Preço/Lucro (P/L), Valor da Firma/EBITDA (EV/EBITDA), entre outros, para estimar o valor da empresa com base em como o mercado avalia seus pares.</w:t>
      </w:r>
      <w:r w:rsidRPr="003725B6">
        <w:rPr>
          <w:vertAlign w:val="superscript"/>
        </w:rPr>
        <w:t>124</w:t>
      </w:r>
    </w:p>
    <w:p w14:paraId="7C479449" w14:textId="77777777" w:rsidR="003725B6" w:rsidRPr="003725B6" w:rsidRDefault="003725B6" w:rsidP="003725B6">
      <w:pPr>
        <w:numPr>
          <w:ilvl w:val="0"/>
          <w:numId w:val="18"/>
        </w:numPr>
      </w:pPr>
      <w:r w:rsidRPr="003725B6">
        <w:rPr>
          <w:b/>
          <w:bCs/>
        </w:rPr>
        <w:t>Valuation Contábil:</w:t>
      </w:r>
      <w:r w:rsidRPr="003725B6">
        <w:t xml:space="preserve"> O agente também deve conhecer métodos baseados no balanço patrimonial, como o Valor Patrimonial Contábil (VPA), que calcula o valor da empresa com base em seus ativos líquidos. Este método é frequentemente utilizado em cenários de liquidação ou para empresas com ativos tangíveis significativos.</w:t>
      </w:r>
      <w:r w:rsidRPr="003725B6">
        <w:rPr>
          <w:vertAlign w:val="superscript"/>
        </w:rPr>
        <w:t>125</w:t>
      </w:r>
    </w:p>
    <w:p w14:paraId="6110A822" w14:textId="77777777" w:rsidR="003725B6" w:rsidRPr="003725B6" w:rsidRDefault="003725B6" w:rsidP="003725B6">
      <w:pPr>
        <w:rPr>
          <w:b/>
          <w:bCs/>
        </w:rPr>
      </w:pPr>
      <w:r w:rsidRPr="003725B6">
        <w:rPr>
          <w:b/>
          <w:bCs/>
        </w:rPr>
        <w:t>Seção 5.4: Estrutura de Capital e Custo de Capital (WACC)</w:t>
      </w:r>
    </w:p>
    <w:p w14:paraId="570F04AE" w14:textId="77777777" w:rsidR="003725B6" w:rsidRPr="003725B6" w:rsidRDefault="003725B6" w:rsidP="003725B6">
      <w:r w:rsidRPr="003725B6">
        <w:t>A forma como uma empresa financia seus ativos é uma decisão estratégica que afeta diretamente seu valor.</w:t>
      </w:r>
    </w:p>
    <w:p w14:paraId="7633695D" w14:textId="77777777" w:rsidR="003725B6" w:rsidRPr="003725B6" w:rsidRDefault="003725B6" w:rsidP="003725B6">
      <w:pPr>
        <w:numPr>
          <w:ilvl w:val="0"/>
          <w:numId w:val="19"/>
        </w:numPr>
      </w:pPr>
      <w:r w:rsidRPr="003725B6">
        <w:rPr>
          <w:b/>
          <w:bCs/>
        </w:rPr>
        <w:t>Estrutura de Capital:</w:t>
      </w:r>
      <w:r w:rsidRPr="003725B6">
        <w:t xml:space="preserve"> O agente deve entender a estrutura de capital como a combinação de capital de terceiros (dívida) e capital próprio (equity) que uma empresa utiliza para financiar suas operações e investimentos.</w:t>
      </w:r>
      <w:r w:rsidRPr="003725B6">
        <w:rPr>
          <w:vertAlign w:val="superscript"/>
        </w:rPr>
        <w:t>129</w:t>
      </w:r>
    </w:p>
    <w:p w14:paraId="2D5E130A" w14:textId="77777777" w:rsidR="003725B6" w:rsidRPr="003725B6" w:rsidRDefault="003725B6" w:rsidP="003725B6">
      <w:pPr>
        <w:numPr>
          <w:ilvl w:val="0"/>
          <w:numId w:val="19"/>
        </w:numPr>
      </w:pPr>
      <w:r w:rsidRPr="003725B6">
        <w:rPr>
          <w:b/>
          <w:bCs/>
        </w:rPr>
        <w:t>Custo Médio Ponderado de Capital (WACC):</w:t>
      </w:r>
      <w:r w:rsidRPr="003725B6">
        <w:t xml:space="preserve"> O domínio do cálculo do WACC é fundamental. Ele representa o custo médio de todas as fontes de capital da empresa, ponderado pela sua respectiva participação na estrutura de capital total.</w:t>
      </w:r>
      <w:r w:rsidRPr="003725B6">
        <w:rPr>
          <w:vertAlign w:val="superscript"/>
        </w:rPr>
        <w:t>130</w:t>
      </w:r>
      <w:r w:rsidRPr="003725B6">
        <w:t xml:space="preserve"> A fórmula universalmente aceita é: </w:t>
      </w:r>
    </w:p>
    <w:p w14:paraId="0D0D4306" w14:textId="77777777" w:rsidR="003725B6" w:rsidRPr="003725B6" w:rsidRDefault="003725B6" w:rsidP="003725B6">
      <w:r w:rsidRPr="003725B6">
        <w:t>WACC=(E/V)×Re</w:t>
      </w:r>
      <w:r w:rsidRPr="003725B6">
        <w:rPr>
          <w:rFonts w:ascii="Arial" w:hAnsi="Arial" w:cs="Arial"/>
        </w:rPr>
        <w:t>​</w:t>
      </w:r>
      <w:r w:rsidRPr="003725B6">
        <w:t>+(D/V)×Rd</w:t>
      </w:r>
      <w:r w:rsidRPr="003725B6">
        <w:rPr>
          <w:rFonts w:ascii="Arial" w:hAnsi="Arial" w:cs="Arial"/>
        </w:rPr>
        <w:t>​</w:t>
      </w:r>
      <w:r w:rsidRPr="003725B6">
        <w:t>×(1−Tc</w:t>
      </w:r>
      <w:r w:rsidRPr="003725B6">
        <w:rPr>
          <w:rFonts w:ascii="Arial" w:hAnsi="Arial" w:cs="Arial"/>
        </w:rPr>
        <w:t>​</w:t>
      </w:r>
      <w:r w:rsidRPr="003725B6">
        <w:t>), onde E é o valor de mercado do capital próprio, D é o valor de mercado da dívida, V é o valor total da firma (E+D), Re</w:t>
      </w:r>
      <w:r w:rsidRPr="003725B6">
        <w:rPr>
          <w:rFonts w:ascii="Arial" w:hAnsi="Arial" w:cs="Arial"/>
        </w:rPr>
        <w:t>​</w:t>
      </w:r>
      <w:r w:rsidRPr="003725B6">
        <w:t xml:space="preserve"> é o custo do capital próprio, Rd</w:t>
      </w:r>
      <w:r w:rsidRPr="003725B6">
        <w:rPr>
          <w:rFonts w:ascii="Arial" w:hAnsi="Arial" w:cs="Arial"/>
        </w:rPr>
        <w:t>​</w:t>
      </w:r>
      <w:r w:rsidRPr="003725B6">
        <w:t xml:space="preserve"> é o custo da dívida, e Tc</w:t>
      </w:r>
      <w:r w:rsidRPr="003725B6">
        <w:rPr>
          <w:rFonts w:ascii="Arial" w:hAnsi="Arial" w:cs="Arial"/>
        </w:rPr>
        <w:t>​</w:t>
      </w:r>
      <w:r w:rsidRPr="003725B6">
        <w:t xml:space="preserve"> é a alíquota de imposto de renda.</w:t>
      </w:r>
      <w:r w:rsidRPr="003725B6">
        <w:rPr>
          <w:vertAlign w:val="superscript"/>
        </w:rPr>
        <w:t>132</w:t>
      </w:r>
    </w:p>
    <w:p w14:paraId="50D0EF3B" w14:textId="77777777" w:rsidR="003725B6" w:rsidRPr="003725B6" w:rsidRDefault="003725B6" w:rsidP="003725B6">
      <w:pPr>
        <w:numPr>
          <w:ilvl w:val="0"/>
          <w:numId w:val="19"/>
        </w:numPr>
      </w:pPr>
      <w:r w:rsidRPr="003725B6">
        <w:rPr>
          <w:b/>
          <w:bCs/>
        </w:rPr>
        <w:t>Importância Estratégica:</w:t>
      </w:r>
      <w:r w:rsidRPr="003725B6">
        <w:t xml:space="preserve"> O WACC é uma métrica central nas finanças corporativas. Ele serve como a taxa de desconto na avaliação por FCD e como a taxa mínima de atratividade (TMA) para a análise de projetos de investimento.</w:t>
      </w:r>
      <w:r w:rsidRPr="003725B6">
        <w:rPr>
          <w:vertAlign w:val="superscript"/>
        </w:rPr>
        <w:t>133</w:t>
      </w:r>
      <w:r w:rsidRPr="003725B6">
        <w:t xml:space="preserve"> O objetivo estratégico da gestão da estrutura de capital é encontrar uma combinação "ótima" de dívida e equity que minimize o WACC e, por consequência, maximize o valor da empresa.</w:t>
      </w:r>
      <w:r w:rsidRPr="003725B6">
        <w:rPr>
          <w:vertAlign w:val="superscript"/>
        </w:rPr>
        <w:t>129</w:t>
      </w:r>
    </w:p>
    <w:p w14:paraId="7A769128" w14:textId="77777777" w:rsidR="003725B6" w:rsidRPr="003725B6" w:rsidRDefault="003725B6" w:rsidP="003725B6">
      <w:pPr>
        <w:rPr>
          <w:b/>
          <w:bCs/>
        </w:rPr>
      </w:pPr>
      <w:r w:rsidRPr="003725B6">
        <w:rPr>
          <w:b/>
          <w:bCs/>
        </w:rPr>
        <w:t>Seção 5.5: Planejamento Estratégico e Medição de Desempenho: SWOT e BSC</w:t>
      </w:r>
    </w:p>
    <w:p w14:paraId="31ABACDC" w14:textId="77777777" w:rsidR="003725B6" w:rsidRPr="003725B6" w:rsidRDefault="003725B6" w:rsidP="003725B6">
      <w:r w:rsidRPr="003725B6">
        <w:t>Para fornecer aconselhamento de alto nível, o agente deve ir além dos números e dominar ferramentas de gestão estratégica.</w:t>
      </w:r>
    </w:p>
    <w:p w14:paraId="22133B2E" w14:textId="77777777" w:rsidR="003725B6" w:rsidRPr="003725B6" w:rsidRDefault="003725B6" w:rsidP="003725B6">
      <w:pPr>
        <w:numPr>
          <w:ilvl w:val="0"/>
          <w:numId w:val="20"/>
        </w:numPr>
      </w:pPr>
      <w:r w:rsidRPr="003725B6">
        <w:rPr>
          <w:b/>
          <w:bCs/>
        </w:rPr>
        <w:t>Análise SWOT:</w:t>
      </w:r>
      <w:r w:rsidRPr="003725B6">
        <w:t xml:space="preserve"> O agente deve ser capaz de conduzir uma análise SWOT (Forças, Fraquezas, Oportunidades e Ameaças) para avaliar sistematicamente os ambientes interno (forças e fraquezas) e externo (oportunidades e ameaças) de uma empresa. Esta análise é a base para a formulação de estratégias que alavanquem as forças, corrijam as fraquezas, aproveitem as oportunidades e mitiguem as ameaças.</w:t>
      </w:r>
      <w:r w:rsidRPr="003725B6">
        <w:rPr>
          <w:vertAlign w:val="superscript"/>
        </w:rPr>
        <w:t>135</w:t>
      </w:r>
    </w:p>
    <w:p w14:paraId="56D22395" w14:textId="77777777" w:rsidR="003725B6" w:rsidRPr="003725B6" w:rsidRDefault="003725B6" w:rsidP="003725B6">
      <w:pPr>
        <w:numPr>
          <w:ilvl w:val="0"/>
          <w:numId w:val="20"/>
        </w:numPr>
      </w:pPr>
      <w:r w:rsidRPr="003725B6">
        <w:rPr>
          <w:b/>
          <w:bCs/>
        </w:rPr>
        <w:t>Balanced Scorecard (BSC):</w:t>
      </w:r>
      <w:r w:rsidRPr="003725B6">
        <w:t xml:space="preserve"> O agente deve compreender o BSC como um sistema de gestão de desempenho que traduz a missão e a estratégia de uma empresa em um conjunto abrangente de indicadores, organizados em quatro perspectivas: Financeira, Clientes, Processos Internos e Aprendizagem e Crescimento.</w:t>
      </w:r>
      <w:r w:rsidRPr="003725B6">
        <w:rPr>
          <w:vertAlign w:val="superscript"/>
        </w:rPr>
        <w:t>138</w:t>
      </w:r>
      <w:r w:rsidRPr="003725B6">
        <w:t xml:space="preserve"> O BSC garante que a empresa não se concentre apenas em métricas financeiras de curto prazo, mas também nos impulsionadores de valor de longo prazo.</w:t>
      </w:r>
    </w:p>
    <w:p w14:paraId="56ABFD18" w14:textId="77777777" w:rsidR="003725B6" w:rsidRPr="003725B6" w:rsidRDefault="003725B6" w:rsidP="003725B6">
      <w:r w:rsidRPr="003725B6">
        <w:t xml:space="preserve">O WACC não é apenas um cálculo financeiro; é o nexo quantitativo onde as decisões de investimento, as políticas de financiamento e o risco operacional de uma empresa convergem. O cálculo do WACC </w:t>
      </w:r>
      <w:r w:rsidRPr="003725B6">
        <w:rPr>
          <w:vertAlign w:val="superscript"/>
        </w:rPr>
        <w:t>132</w:t>
      </w:r>
      <w:r w:rsidRPr="003725B6">
        <w:t xml:space="preserve"> exige insumos de múltiplos domínios estratégicos. O custo do capital próprio (</w:t>
      </w:r>
    </w:p>
    <w:p w14:paraId="1F196620" w14:textId="77777777" w:rsidR="003725B6" w:rsidRPr="003725B6" w:rsidRDefault="003725B6" w:rsidP="003725B6">
      <w:r w:rsidRPr="003725B6">
        <w:t>Re</w:t>
      </w:r>
      <w:r w:rsidRPr="003725B6">
        <w:rPr>
          <w:rFonts w:ascii="Arial" w:hAnsi="Arial" w:cs="Arial"/>
        </w:rPr>
        <w:t>​</w:t>
      </w:r>
      <w:r w:rsidRPr="003725B6">
        <w:t>) é derivado da percepção de risco do mercado (beta) e de fatores macroeconômicos (taxa livre de risco).</w:t>
      </w:r>
      <w:r w:rsidRPr="003725B6">
        <w:rPr>
          <w:vertAlign w:val="superscript"/>
        </w:rPr>
        <w:t>133</w:t>
      </w:r>
      <w:r w:rsidRPr="003725B6">
        <w:t xml:space="preserve"> O custo da dívida (</w:t>
      </w:r>
    </w:p>
    <w:p w14:paraId="2C6F9C63" w14:textId="77777777" w:rsidR="003725B6" w:rsidRPr="003725B6" w:rsidRDefault="003725B6" w:rsidP="003725B6">
      <w:r w:rsidRPr="003725B6">
        <w:t>Rd</w:t>
      </w:r>
      <w:r w:rsidRPr="003725B6">
        <w:rPr>
          <w:rFonts w:ascii="Arial" w:hAnsi="Arial" w:cs="Arial"/>
        </w:rPr>
        <w:t>​</w:t>
      </w:r>
      <w:r w:rsidRPr="003725B6">
        <w:t>) reflete a credibilidade e a saúde financeira da empresa. A proporção dívida/capital (D/V e E/V) é um reflexo direto das decisões estratégicas de financiamento do conselho de administração.</w:t>
      </w:r>
      <w:r w:rsidRPr="003725B6">
        <w:rPr>
          <w:vertAlign w:val="superscript"/>
        </w:rPr>
        <w:t>129</w:t>
      </w:r>
      <w:r w:rsidRPr="003725B6">
        <w:t xml:space="preserve"> Este WACC resultante torna-se então a taxa de barreira crítica que determina quais projetos são aprovados ou rejeitados (via análise de VPL/TIR) </w:t>
      </w:r>
      <w:r w:rsidRPr="003725B6">
        <w:rPr>
          <w:vertAlign w:val="superscript"/>
        </w:rPr>
        <w:t>117</w:t>
      </w:r>
      <w:r w:rsidRPr="003725B6">
        <w:t xml:space="preserve"> e é o fator de desconto que determina a avaliação geral da empresa (via FCD).</w:t>
      </w:r>
      <w:r w:rsidRPr="003725B6">
        <w:rPr>
          <w:vertAlign w:val="superscript"/>
        </w:rPr>
        <w:t>125</w:t>
      </w:r>
      <w:r w:rsidRPr="003725B6">
        <w:t xml:space="preserve"> Portanto, uma decisão de assumir mais dívida não apenas altera um item do balanço; ela modifica o WACC, que por sua vez altera a viabilidade de projetos futuros e a própria avaliação da empresa. O agente deve ser capaz de modelar esses complexos ciclos de feedback para fornecer um aconselhamento financeiro verdadeiramente estratégico.</w:t>
      </w:r>
    </w:p>
    <w:p w14:paraId="50CF55BC" w14:textId="77777777" w:rsidR="003725B6" w:rsidRPr="003725B6" w:rsidRDefault="003725B6" w:rsidP="003725B6">
      <w:pPr>
        <w:rPr>
          <w:b/>
          <w:bCs/>
        </w:rPr>
      </w:pPr>
      <w:r w:rsidRPr="003725B6">
        <w:rPr>
          <w:b/>
          <w:bCs/>
        </w:rPr>
        <w:t>Parte VI: O Arcabouço Legal e de Governança</w:t>
      </w:r>
    </w:p>
    <w:p w14:paraId="3D18E9FC" w14:textId="77777777" w:rsidR="003725B6" w:rsidRPr="003725B6" w:rsidRDefault="003725B6" w:rsidP="003725B6">
      <w:r w:rsidRPr="003725B6">
        <w:t>Esta parte garante que o agente opere dentro dos limites da lei e compreenda os princípios da boa conduta corporativa. Abrange as estruturas legais das empresas, os contratos que as vinculam, as regulamentações que governam sua força de trabalho e os frameworks para gestão ética e controle de riscos.</w:t>
      </w:r>
    </w:p>
    <w:p w14:paraId="7FD53678" w14:textId="77777777" w:rsidR="003725B6" w:rsidRPr="003725B6" w:rsidRDefault="003725B6" w:rsidP="003725B6">
      <w:pPr>
        <w:rPr>
          <w:b/>
          <w:bCs/>
        </w:rPr>
      </w:pPr>
      <w:r w:rsidRPr="003725B6">
        <w:rPr>
          <w:b/>
          <w:bCs/>
        </w:rPr>
        <w:t>Seção 6.1: Fundamentos do Direito Societário: Tipos de Entidades Legais e Processos de Formação</w:t>
      </w:r>
    </w:p>
    <w:p w14:paraId="31979633" w14:textId="77777777" w:rsidR="003725B6" w:rsidRPr="003725B6" w:rsidRDefault="003725B6" w:rsidP="003725B6">
      <w:r w:rsidRPr="003725B6">
        <w:t>O agente deve compreender as diferentes formas jurídicas que uma empresa pode assumir no Brasil e como elas são constituídas.</w:t>
      </w:r>
    </w:p>
    <w:p w14:paraId="1F69FF11" w14:textId="77777777" w:rsidR="003725B6" w:rsidRPr="003725B6" w:rsidRDefault="003725B6" w:rsidP="003725B6">
      <w:pPr>
        <w:numPr>
          <w:ilvl w:val="0"/>
          <w:numId w:val="21"/>
        </w:numPr>
      </w:pPr>
      <w:r w:rsidRPr="003725B6">
        <w:rPr>
          <w:b/>
          <w:bCs/>
        </w:rPr>
        <w:t>Tipos de Sociedades:</w:t>
      </w:r>
      <w:r w:rsidRPr="003725B6">
        <w:t xml:space="preserve"> O agente deve ser proficiente nos principais tipos de entidades legais, com destaque para a Sociedade Limitada (LTDA) e a Sociedade Anônima (S/A). É fundamental entender suas diferenças em termos de estrutura de capital (quotas versus ações), responsabilidade dos sócios (limitada ao capital versus limitada ao preço de emissão das ações) e complexidade de gestão.</w:t>
      </w:r>
      <w:r w:rsidRPr="003725B6">
        <w:rPr>
          <w:vertAlign w:val="superscript"/>
        </w:rPr>
        <w:t>141</w:t>
      </w:r>
      <w:r w:rsidRPr="003725B6">
        <w:t xml:space="preserve"> O conhecimento deve se estender a outras formas, como a Sociedade Simples (para atividades intelectuais), Cooperativas e a Sociedade em Conta de Participação (SCP).</w:t>
      </w:r>
      <w:r w:rsidRPr="003725B6">
        <w:rPr>
          <w:vertAlign w:val="superscript"/>
        </w:rPr>
        <w:t>144</w:t>
      </w:r>
    </w:p>
    <w:p w14:paraId="406AEF2A" w14:textId="77777777" w:rsidR="003725B6" w:rsidRPr="003725B6" w:rsidRDefault="003725B6" w:rsidP="003725B6">
      <w:pPr>
        <w:numPr>
          <w:ilvl w:val="0"/>
          <w:numId w:val="21"/>
        </w:numPr>
      </w:pPr>
      <w:r w:rsidRPr="003725B6">
        <w:rPr>
          <w:b/>
          <w:bCs/>
        </w:rPr>
        <w:t>Processo de Constituição:</w:t>
      </w:r>
      <w:r w:rsidRPr="003725B6">
        <w:t xml:space="preserve"> O agente deve conhecer o processo passo a passo para a constituição legal de uma empresa no Brasil. Isso inclui a consulta prévia de viabilidade de nome e local, a elaboração e registro do contrato social ou estatuto na Junta Comercial, a obtenção do Cadastro Nacional da Pessoa Jurídica (CNPJ) junto à Receita Federal, e a obtenção das inscrições e alvarás estaduais e municipais necessários para a operação.</w:t>
      </w:r>
      <w:r w:rsidRPr="003725B6">
        <w:rPr>
          <w:vertAlign w:val="superscript"/>
        </w:rPr>
        <w:t>145</w:t>
      </w:r>
    </w:p>
    <w:p w14:paraId="6165FCBE" w14:textId="77777777" w:rsidR="003725B6" w:rsidRPr="003725B6" w:rsidRDefault="003725B6" w:rsidP="003725B6">
      <w:pPr>
        <w:rPr>
          <w:b/>
          <w:bCs/>
        </w:rPr>
      </w:pPr>
      <w:r w:rsidRPr="003725B6">
        <w:rPr>
          <w:b/>
          <w:bCs/>
        </w:rPr>
        <w:t>Seção 6.2: A Arte da Negociação: Contratos Empresariais Chave e Cláusulas Essenciais</w:t>
      </w:r>
    </w:p>
    <w:p w14:paraId="209DE0BD" w14:textId="77777777" w:rsidR="003725B6" w:rsidRPr="003725B6" w:rsidRDefault="003725B6" w:rsidP="003725B6">
      <w:r w:rsidRPr="003725B6">
        <w:t>Contratos são a espinha dorsal das relações comerciais. O agente deve ser capaz de interpretar e analisar os acordos que governam as operações de uma empresa.</w:t>
      </w:r>
    </w:p>
    <w:p w14:paraId="63C372B9" w14:textId="77777777" w:rsidR="003725B6" w:rsidRPr="003725B6" w:rsidRDefault="003725B6" w:rsidP="003725B6">
      <w:pPr>
        <w:numPr>
          <w:ilvl w:val="0"/>
          <w:numId w:val="22"/>
        </w:numPr>
      </w:pPr>
      <w:r w:rsidRPr="003725B6">
        <w:rPr>
          <w:b/>
          <w:bCs/>
        </w:rPr>
        <w:t>Tipos de Contratos:</w:t>
      </w:r>
      <w:r w:rsidRPr="003725B6">
        <w:t xml:space="preserve"> É necessário um conhecimento funcional dos tipos de contratos empresariais mais comuns, como o contrato de prestação de serviços, de compra e venda mercantil, de locação comercial, de franquia e de parceria (Joint Venture).</w:t>
      </w:r>
      <w:r w:rsidRPr="003725B6">
        <w:rPr>
          <w:vertAlign w:val="superscript"/>
        </w:rPr>
        <w:t>148</w:t>
      </w:r>
    </w:p>
    <w:p w14:paraId="5C1508A9" w14:textId="77777777" w:rsidR="003725B6" w:rsidRPr="003725B6" w:rsidRDefault="003725B6" w:rsidP="003725B6">
      <w:pPr>
        <w:numPr>
          <w:ilvl w:val="0"/>
          <w:numId w:val="22"/>
        </w:numPr>
      </w:pPr>
      <w:r w:rsidRPr="003725B6">
        <w:rPr>
          <w:b/>
          <w:bCs/>
        </w:rPr>
        <w:t>Cláusulas Essenciais:</w:t>
      </w:r>
      <w:r w:rsidRPr="003725B6">
        <w:t xml:space="preserve"> O agente deve ser capaz de identificar, interpretar e avaliar o risco das cláusulas essenciais que definem os direitos e obrigações das partes. Isso inclui a qualificação das partes, o objeto do contrato (o escopo do que está sendo negociado), o preço e as condições de pagamento, os prazos de vigência e execução, as condições de rescisão e as penalidades, e a cláusula de eleição de foro para resolução de disputas.</w:t>
      </w:r>
      <w:r w:rsidRPr="003725B6">
        <w:rPr>
          <w:vertAlign w:val="superscript"/>
        </w:rPr>
        <w:t>150</w:t>
      </w:r>
      <w:r w:rsidRPr="003725B6">
        <w:t xml:space="preserve"> Além disso, deve reconhecer a importância de cláusulas especializadas, como as de confidencialidade (NDA) e de propriedade intelectual, que protegem os ativos mais valiosos da empresa.</w:t>
      </w:r>
      <w:r w:rsidRPr="003725B6">
        <w:rPr>
          <w:vertAlign w:val="superscript"/>
        </w:rPr>
        <w:t>152</w:t>
      </w:r>
    </w:p>
    <w:p w14:paraId="2DFA12FD" w14:textId="77777777" w:rsidR="003725B6" w:rsidRPr="003725B6" w:rsidRDefault="003725B6" w:rsidP="003725B6">
      <w:pPr>
        <w:rPr>
          <w:b/>
          <w:bCs/>
        </w:rPr>
      </w:pPr>
      <w:r w:rsidRPr="003725B6">
        <w:rPr>
          <w:b/>
          <w:bCs/>
        </w:rPr>
        <w:t>Seção 6.3: Capital Humano: Impactos Financeiros da Legislação Trabalhista Brasileira</w:t>
      </w:r>
    </w:p>
    <w:p w14:paraId="6DB73459" w14:textId="77777777" w:rsidR="003725B6" w:rsidRPr="003725B6" w:rsidRDefault="003725B6" w:rsidP="003725B6">
      <w:r w:rsidRPr="003725B6">
        <w:t>A gestão de pessoas no Brasil é fortemente regulamentada, e o descumprimento da legislação trabalhista acarreta riscos financeiros significativos.</w:t>
      </w:r>
    </w:p>
    <w:p w14:paraId="28601C44" w14:textId="77777777" w:rsidR="003725B6" w:rsidRPr="003725B6" w:rsidRDefault="003725B6" w:rsidP="003725B6">
      <w:pPr>
        <w:numPr>
          <w:ilvl w:val="0"/>
          <w:numId w:val="23"/>
        </w:numPr>
      </w:pPr>
      <w:r w:rsidRPr="003725B6">
        <w:rPr>
          <w:b/>
          <w:bCs/>
        </w:rPr>
        <w:t>Legislação Central (CLT):</w:t>
      </w:r>
      <w:r w:rsidRPr="003725B6">
        <w:t xml:space="preserve"> O agente deve possuir um conhecimento prático da Consolidação das Leis do Trabalho (CLT), o principal diploma legal que rege as relações de emprego no Brasil.</w:t>
      </w:r>
      <w:r w:rsidRPr="003725B6">
        <w:rPr>
          <w:vertAlign w:val="superscript"/>
        </w:rPr>
        <w:t>153</w:t>
      </w:r>
    </w:p>
    <w:p w14:paraId="0A291FC4" w14:textId="77777777" w:rsidR="003725B6" w:rsidRPr="003725B6" w:rsidRDefault="003725B6" w:rsidP="003725B6">
      <w:pPr>
        <w:numPr>
          <w:ilvl w:val="0"/>
          <w:numId w:val="23"/>
        </w:numPr>
      </w:pPr>
      <w:r w:rsidRPr="003725B6">
        <w:rPr>
          <w:b/>
          <w:bCs/>
        </w:rPr>
        <w:t>Direitos e Custos Chave:</w:t>
      </w:r>
      <w:r w:rsidRPr="003725B6">
        <w:t xml:space="preserve"> É fundamental que o agente compreenda os principais direitos dos trabalhadores, pois eles se traduzem diretamente em custos para o empregador. Isso inclui o salário mínimo, 13º salário, férias remuneradas acrescidas de 1/3, depósitos mensais do FGTS (equivalente a 8% do salário), vale-transporte, e as verbas rescisórias devidas no término do contrato.</w:t>
      </w:r>
      <w:r w:rsidRPr="003725B6">
        <w:rPr>
          <w:vertAlign w:val="superscript"/>
        </w:rPr>
        <w:t>153</w:t>
      </w:r>
    </w:p>
    <w:p w14:paraId="66B46B7B" w14:textId="77777777" w:rsidR="003725B6" w:rsidRPr="003725B6" w:rsidRDefault="003725B6" w:rsidP="003725B6">
      <w:pPr>
        <w:numPr>
          <w:ilvl w:val="0"/>
          <w:numId w:val="23"/>
        </w:numPr>
      </w:pPr>
      <w:r w:rsidRPr="003725B6">
        <w:rPr>
          <w:b/>
          <w:bCs/>
        </w:rPr>
        <w:t>Impacto Financeiro Total:</w:t>
      </w:r>
      <w:r w:rsidRPr="003725B6">
        <w:t xml:space="preserve"> O agente deve ser capaz de calcular o custo total de um empregado, que vai muito além do salário bruto. É preciso computar todos os encargos sociais e trabalhistas incidentes sobre a folha de pagamento, que representam uma parcela substancial das despesas operacionais de uma empresa e podem impactar significativamente sua gestão financeira.</w:t>
      </w:r>
      <w:r w:rsidRPr="003725B6">
        <w:rPr>
          <w:vertAlign w:val="superscript"/>
        </w:rPr>
        <w:t>156</w:t>
      </w:r>
    </w:p>
    <w:p w14:paraId="328C4040" w14:textId="77777777" w:rsidR="003725B6" w:rsidRPr="003725B6" w:rsidRDefault="003725B6" w:rsidP="003725B6">
      <w:pPr>
        <w:rPr>
          <w:b/>
          <w:bCs/>
        </w:rPr>
      </w:pPr>
      <w:r w:rsidRPr="003725B6">
        <w:rPr>
          <w:b/>
          <w:bCs/>
        </w:rPr>
        <w:t>Seção 6.4: Integridade e Supervisão: Governança Corporativa e Programas de Compliance</w:t>
      </w:r>
    </w:p>
    <w:p w14:paraId="4989A6AC" w14:textId="77777777" w:rsidR="003725B6" w:rsidRPr="003725B6" w:rsidRDefault="003725B6" w:rsidP="003725B6">
      <w:r w:rsidRPr="003725B6">
        <w:t>Em um ambiente de negócios moderno, a ética, a transparência e a gestão de riscos são indispensáveis para a sustentabilidade e a criação de valor a longo prazo.</w:t>
      </w:r>
    </w:p>
    <w:p w14:paraId="40CC0301" w14:textId="77777777" w:rsidR="003725B6" w:rsidRPr="003725B6" w:rsidRDefault="003725B6" w:rsidP="003725B6">
      <w:pPr>
        <w:numPr>
          <w:ilvl w:val="0"/>
          <w:numId w:val="24"/>
        </w:numPr>
      </w:pPr>
      <w:r w:rsidRPr="003725B6">
        <w:rPr>
          <w:b/>
          <w:bCs/>
        </w:rPr>
        <w:t>Governança vs. Compliance:</w:t>
      </w:r>
      <w:r w:rsidRPr="003725B6">
        <w:t xml:space="preserve"> O agente deve distinguir claramente esses dois conceitos interligados. A Governança Corporativa é o sistema mais amplo pelo qual as empresas são dirigidas e controladas, com o objetivo de alinhar os interesses de todos os stakeholders (acionistas, gestores, clientes, etc.).</w:t>
      </w:r>
      <w:r w:rsidRPr="003725B6">
        <w:rPr>
          <w:vertAlign w:val="superscript"/>
        </w:rPr>
        <w:t>159</w:t>
      </w:r>
      <w:r w:rsidRPr="003725B6">
        <w:t xml:space="preserve"> O Compliance é a função específica de garantir que a empresa cumpra todas as leis, regulamentos, normas e políticas internas aplicáveis, sendo um pilar fundamental da boa governança.</w:t>
      </w:r>
      <w:r w:rsidRPr="003725B6">
        <w:rPr>
          <w:vertAlign w:val="superscript"/>
        </w:rPr>
        <w:t>160</w:t>
      </w:r>
    </w:p>
    <w:p w14:paraId="6D9C1421" w14:textId="77777777" w:rsidR="003725B6" w:rsidRPr="003725B6" w:rsidRDefault="003725B6" w:rsidP="003725B6">
      <w:pPr>
        <w:numPr>
          <w:ilvl w:val="0"/>
          <w:numId w:val="24"/>
        </w:numPr>
      </w:pPr>
      <w:r w:rsidRPr="003725B6">
        <w:rPr>
          <w:b/>
          <w:bCs/>
        </w:rPr>
        <w:t>Frameworks de Gestão de Riscos:</w:t>
      </w:r>
      <w:r w:rsidRPr="003725B6">
        <w:t xml:space="preserve"> O agente deve estar familiarizado com os principais frameworks internacionais de gestão de riscos, que são a base para programas de compliance eficazes:</w:t>
      </w:r>
    </w:p>
    <w:p w14:paraId="17BD1CDE" w14:textId="77777777" w:rsidR="003725B6" w:rsidRPr="003725B6" w:rsidRDefault="003725B6" w:rsidP="003725B6">
      <w:pPr>
        <w:numPr>
          <w:ilvl w:val="1"/>
          <w:numId w:val="24"/>
        </w:numPr>
      </w:pPr>
      <w:r w:rsidRPr="003725B6">
        <w:rPr>
          <w:b/>
          <w:bCs/>
        </w:rPr>
        <w:t>COSO ERM:</w:t>
      </w:r>
      <w:r w:rsidRPr="003725B6">
        <w:t xml:space="preserve"> Compreender a estrutura do </w:t>
      </w:r>
      <w:r w:rsidRPr="003725B6">
        <w:rPr>
          <w:i/>
          <w:iCs/>
        </w:rPr>
        <w:t>Committee of Sponsoring Organizations of the Treadway Commission</w:t>
      </w:r>
      <w:r w:rsidRPr="003725B6">
        <w:t xml:space="preserve"> para o Gerenciamento de Riscos Corporativos (ERM), que oferece uma abordagem integrada para identificar, avaliar e responder aos riscos em toda a organização, alinhando a gestão de riscos com a estratégia.</w:t>
      </w:r>
      <w:r w:rsidRPr="003725B6">
        <w:rPr>
          <w:vertAlign w:val="superscript"/>
        </w:rPr>
        <w:t>161</w:t>
      </w:r>
    </w:p>
    <w:p w14:paraId="4D093342" w14:textId="77777777" w:rsidR="003725B6" w:rsidRPr="003725B6" w:rsidRDefault="003725B6" w:rsidP="003725B6">
      <w:pPr>
        <w:numPr>
          <w:ilvl w:val="1"/>
          <w:numId w:val="24"/>
        </w:numPr>
      </w:pPr>
      <w:r w:rsidRPr="003725B6">
        <w:rPr>
          <w:b/>
          <w:bCs/>
        </w:rPr>
        <w:t>ISO 31000:</w:t>
      </w:r>
      <w:r w:rsidRPr="003725B6">
        <w:t xml:space="preserve"> Conhecer a ISO 31000 como um conjunto de diretrizes internacionais que fornece os princípios e um processo genérico para a gestão de riscos, aplicável a qualquer tipo de organização e risco. O processo inclui as etapas de estabelecimento do contexto, identificação, análise, avaliação e tratamento dos riscos.</w:t>
      </w:r>
      <w:r w:rsidRPr="003725B6">
        <w:rPr>
          <w:vertAlign w:val="superscript"/>
        </w:rPr>
        <w:t>161</w:t>
      </w:r>
    </w:p>
    <w:p w14:paraId="7500572C" w14:textId="77777777" w:rsidR="003725B6" w:rsidRPr="003725B6" w:rsidRDefault="003725B6" w:rsidP="003725B6">
      <w:r w:rsidRPr="003725B6">
        <w:t xml:space="preserve">A implementação de programas de compliance e governança não deve ser vista apenas como um centro de custo defensivo. Pelo contrário, são motores proativos de valor financeiro e eficiência operacional. Um programa de compliance robusto </w:t>
      </w:r>
      <w:r w:rsidRPr="003725B6">
        <w:rPr>
          <w:vertAlign w:val="superscript"/>
        </w:rPr>
        <w:t>160</w:t>
      </w:r>
      <w:r w:rsidRPr="003725B6">
        <w:t xml:space="preserve">, fundamentado em frameworks como o COSO </w:t>
      </w:r>
      <w:r w:rsidRPr="003725B6">
        <w:rPr>
          <w:vertAlign w:val="superscript"/>
        </w:rPr>
        <w:t>162</w:t>
      </w:r>
      <w:r w:rsidRPr="003725B6">
        <w:t xml:space="preserve">, reduz a probabilidade de litígios dispendiosos e multas decorrentes de violações trabalhistas </w:t>
      </w:r>
      <w:r w:rsidRPr="003725B6">
        <w:rPr>
          <w:vertAlign w:val="superscript"/>
        </w:rPr>
        <w:t>157</w:t>
      </w:r>
      <w:r w:rsidRPr="003725B6">
        <w:t xml:space="preserve"> ou inconformidades fiscais </w:t>
      </w:r>
      <w:r w:rsidRPr="003725B6">
        <w:rPr>
          <w:vertAlign w:val="superscript"/>
        </w:rPr>
        <w:t>34</w:t>
      </w:r>
      <w:r w:rsidRPr="003725B6">
        <w:t xml:space="preserve">, protegendo diretamente o resultado financeiro da empresa. Além disso, uma governança forte, caracterizada pela transparência e pela prestação de contas </w:t>
      </w:r>
      <w:r w:rsidRPr="003725B6">
        <w:rPr>
          <w:vertAlign w:val="superscript"/>
        </w:rPr>
        <w:t>165</w:t>
      </w:r>
      <w:r w:rsidRPr="003725B6">
        <w:t>, diminui o risco percebido da empresa. Este perfil de risco mais baixo pode levar a um custo de capital (WACC) menor, uma vez que tanto credores quanto investidores em ações exigem um prêmio de risco menor.</w:t>
      </w:r>
      <w:r w:rsidRPr="003725B6">
        <w:rPr>
          <w:vertAlign w:val="superscript"/>
        </w:rPr>
        <w:t>129</w:t>
      </w:r>
      <w:r w:rsidRPr="003725B6">
        <w:t xml:space="preserve"> Um WACC mais baixo, por sua vez, aumenta a avaliação da empresa (via FCD) e torna mais projetos de investimento viáveis. Portanto, o agente deve ser capaz de quantificar o retorno sobre o investimento (ROI) das iniciativas de compliance e governança, demonstrando seu impacto direto e positivo no desempenho financeiro e no valor da empresa.</w:t>
      </w:r>
    </w:p>
    <w:p w14:paraId="291D17EA" w14:textId="77777777" w:rsidR="003725B6" w:rsidRPr="003725B6" w:rsidRDefault="003725B6" w:rsidP="003725B6">
      <w:pPr>
        <w:rPr>
          <w:b/>
          <w:bCs/>
        </w:rPr>
      </w:pPr>
      <w:r w:rsidRPr="003725B6">
        <w:rPr>
          <w:b/>
          <w:bCs/>
        </w:rPr>
        <w:t>Parte VII: O Kit de Ferramentas Tecnológicas - Automação e Inteligência em Finanças</w:t>
      </w:r>
    </w:p>
    <w:p w14:paraId="5C2B3942" w14:textId="77777777" w:rsidR="003725B6" w:rsidRPr="003725B6" w:rsidRDefault="003725B6" w:rsidP="003725B6">
      <w:r w:rsidRPr="003725B6">
        <w:t>Esta parte define o próprio DNA tecnológico do agente. Para ser "o melhor do mundo", ele não pode apenas possuir conhecimento; deve ser proficiente com as ferramentas que definem as finanças modernas, permitindo eficiência, escalabilidade e capacidades analíticas mais profundas.</w:t>
      </w:r>
    </w:p>
    <w:p w14:paraId="01407D3C" w14:textId="77777777" w:rsidR="003725B6" w:rsidRPr="003725B6" w:rsidRDefault="003725B6" w:rsidP="003725B6">
      <w:pPr>
        <w:rPr>
          <w:b/>
          <w:bCs/>
        </w:rPr>
      </w:pPr>
      <w:r w:rsidRPr="003725B6">
        <w:rPr>
          <w:b/>
          <w:bCs/>
        </w:rPr>
        <w:t>Seção 7.1: O Sistema Nervoso Central: Sistemas de Gestão Integrada (ERP)</w:t>
      </w:r>
    </w:p>
    <w:p w14:paraId="22111BA0" w14:textId="77777777" w:rsidR="003725B6" w:rsidRPr="003725B6" w:rsidRDefault="003725B6" w:rsidP="003725B6">
      <w:r w:rsidRPr="003725B6">
        <w:t>O ERP é a espinha dorsal da informação em qualquer empresa moderna.</w:t>
      </w:r>
    </w:p>
    <w:p w14:paraId="055D7EC7" w14:textId="77777777" w:rsidR="003725B6" w:rsidRPr="003725B6" w:rsidRDefault="003725B6" w:rsidP="003725B6">
      <w:pPr>
        <w:numPr>
          <w:ilvl w:val="0"/>
          <w:numId w:val="25"/>
        </w:numPr>
      </w:pPr>
      <w:r w:rsidRPr="003725B6">
        <w:rPr>
          <w:b/>
          <w:bCs/>
        </w:rPr>
        <w:t>Função:</w:t>
      </w:r>
      <w:r w:rsidRPr="003725B6">
        <w:t xml:space="preserve"> O agente deve compreender que um sistema de Planejamento de Recursos Empresariais (ERP) é uma plataforma de software que integra e centraliza todos os dados e processos de uma empresa — finanças, contabilidade, vendas, estoque, produção, recursos humanos — em um único banco de dados.</w:t>
      </w:r>
      <w:r w:rsidRPr="003725B6">
        <w:rPr>
          <w:vertAlign w:val="superscript"/>
        </w:rPr>
        <w:t>166</w:t>
      </w:r>
    </w:p>
    <w:p w14:paraId="6ED5595E" w14:textId="77777777" w:rsidR="003725B6" w:rsidRPr="003725B6" w:rsidRDefault="003725B6" w:rsidP="003725B6">
      <w:pPr>
        <w:numPr>
          <w:ilvl w:val="0"/>
          <w:numId w:val="25"/>
        </w:numPr>
      </w:pPr>
      <w:r w:rsidRPr="003725B6">
        <w:rPr>
          <w:b/>
          <w:bCs/>
        </w:rPr>
        <w:t>Principais Players no Brasil:</w:t>
      </w:r>
      <w:r w:rsidRPr="003725B6">
        <w:t xml:space="preserve"> Para interagir eficazmente com os ambientes corporativos, o agente precisa de familiaridade com os sistemas ERP líderes no mercado brasileiro. Isso inclui soluções globais como SAP, amplamente utilizadas por grandes corporações, e Oracle NetSuite, mas também players nacionais dominantes como TOTVS (com seu sistema Protheus), Senior Sistemas, e soluções focadas em PMEs como Omie.</w:t>
      </w:r>
      <w:r w:rsidRPr="003725B6">
        <w:rPr>
          <w:vertAlign w:val="superscript"/>
        </w:rPr>
        <w:t>168</w:t>
      </w:r>
      <w:r w:rsidRPr="003725B6">
        <w:t xml:space="preserve"> Este conhecimento é crucial para a extração, integração e processamento de dados.</w:t>
      </w:r>
    </w:p>
    <w:p w14:paraId="09D24EC5" w14:textId="77777777" w:rsidR="003725B6" w:rsidRPr="003725B6" w:rsidRDefault="003725B6" w:rsidP="003725B6">
      <w:pPr>
        <w:rPr>
          <w:b/>
          <w:bCs/>
        </w:rPr>
      </w:pPr>
      <w:r w:rsidRPr="003725B6">
        <w:rPr>
          <w:b/>
          <w:bCs/>
        </w:rPr>
        <w:t>Seção 7.2: De Dados a Insights: Ferramentas de Business Intelligence (BI) para Análise Financeira</w:t>
      </w:r>
    </w:p>
    <w:p w14:paraId="64248EBE" w14:textId="77777777" w:rsidR="003725B6" w:rsidRPr="003725B6" w:rsidRDefault="003725B6" w:rsidP="003725B6">
      <w:r w:rsidRPr="003725B6">
        <w:t>O BI transforma dados brutos em informações acionáveis.</w:t>
      </w:r>
    </w:p>
    <w:p w14:paraId="6984EB2F" w14:textId="77777777" w:rsidR="003725B6" w:rsidRPr="003725B6" w:rsidRDefault="003725B6" w:rsidP="003725B6">
      <w:pPr>
        <w:numPr>
          <w:ilvl w:val="0"/>
          <w:numId w:val="26"/>
        </w:numPr>
      </w:pPr>
      <w:r w:rsidRPr="003725B6">
        <w:rPr>
          <w:b/>
          <w:bCs/>
        </w:rPr>
        <w:t>Processo:</w:t>
      </w:r>
      <w:r w:rsidRPr="003725B6">
        <w:t xml:space="preserve"> O agente deve entender o fluxo de trabalho do Business Intelligence: coletar dados de diversas fontes (processo de ETL - Extração, Transformação e Carga), analisá-los para descobrir padrões, tendências e anomalias, e apresentar os resultados em formatos visuais e intuitivos, como dashboards, gráficos e mapas.</w:t>
      </w:r>
      <w:r w:rsidRPr="003725B6">
        <w:rPr>
          <w:vertAlign w:val="superscript"/>
        </w:rPr>
        <w:t>171</w:t>
      </w:r>
    </w:p>
    <w:p w14:paraId="2B3F53F3" w14:textId="77777777" w:rsidR="003725B6" w:rsidRPr="003725B6" w:rsidRDefault="003725B6" w:rsidP="003725B6">
      <w:pPr>
        <w:numPr>
          <w:ilvl w:val="0"/>
          <w:numId w:val="26"/>
        </w:numPr>
      </w:pPr>
      <w:r w:rsidRPr="003725B6">
        <w:rPr>
          <w:b/>
          <w:bCs/>
        </w:rPr>
        <w:t>Ferramentas Chave:</w:t>
      </w:r>
      <w:r w:rsidRPr="003725B6">
        <w:t xml:space="preserve"> O agente deve ser capaz de se integrar com ou replicar as funcionalidades das principais plataformas de BI do mercado, como Microsoft Power BI e Tableau. Essas ferramentas são essenciais para a criação de relatórios financeiros interativos, análises de desempenho em tempo real e painéis de controle para a gestão.</w:t>
      </w:r>
      <w:r w:rsidRPr="003725B6">
        <w:rPr>
          <w:vertAlign w:val="superscript"/>
        </w:rPr>
        <w:t>171</w:t>
      </w:r>
    </w:p>
    <w:p w14:paraId="37845E01" w14:textId="77777777" w:rsidR="003725B6" w:rsidRPr="003725B6" w:rsidRDefault="003725B6" w:rsidP="003725B6">
      <w:pPr>
        <w:rPr>
          <w:b/>
          <w:bCs/>
        </w:rPr>
      </w:pPr>
      <w:r w:rsidRPr="003725B6">
        <w:rPr>
          <w:b/>
          <w:bCs/>
        </w:rPr>
        <w:t>Seção 7.3: A Força de Trabalho Digital: Automação de Processos Robóticos (RPA) na Contabilidade e na Área Fiscal</w:t>
      </w:r>
    </w:p>
    <w:p w14:paraId="6C172633" w14:textId="77777777" w:rsidR="003725B6" w:rsidRPr="003725B6" w:rsidRDefault="003725B6" w:rsidP="003725B6">
      <w:r w:rsidRPr="003725B6">
        <w:t>A RPA é a chave para lidar com o volume massivo de tarefas repetitivas no ambiente fiscal e contábil brasileiro.</w:t>
      </w:r>
    </w:p>
    <w:p w14:paraId="4F216A90" w14:textId="77777777" w:rsidR="003725B6" w:rsidRPr="003725B6" w:rsidRDefault="003725B6" w:rsidP="003725B6">
      <w:pPr>
        <w:numPr>
          <w:ilvl w:val="0"/>
          <w:numId w:val="27"/>
        </w:numPr>
      </w:pPr>
      <w:r w:rsidRPr="003725B6">
        <w:rPr>
          <w:b/>
          <w:bCs/>
        </w:rPr>
        <w:t>Conceito:</w:t>
      </w:r>
      <w:r w:rsidRPr="003725B6">
        <w:t xml:space="preserve"> O agente deve compreender a RPA como a utilização de "robôs" de software para automatizar tarefas manuais, repetitivas e baseadas em regras que antes eram executadas por humanos.</w:t>
      </w:r>
      <w:r w:rsidRPr="003725B6">
        <w:rPr>
          <w:vertAlign w:val="superscript"/>
        </w:rPr>
        <w:t>174</w:t>
      </w:r>
    </w:p>
    <w:p w14:paraId="5001EFDA" w14:textId="77777777" w:rsidR="003725B6" w:rsidRPr="003725B6" w:rsidRDefault="003725B6" w:rsidP="003725B6">
      <w:pPr>
        <w:numPr>
          <w:ilvl w:val="0"/>
          <w:numId w:val="27"/>
        </w:numPr>
      </w:pPr>
      <w:r w:rsidRPr="003725B6">
        <w:rPr>
          <w:b/>
          <w:bCs/>
        </w:rPr>
        <w:t>Aplicações em Finanças:</w:t>
      </w:r>
      <w:r w:rsidRPr="003725B6">
        <w:t xml:space="preserve"> O conhecimento dos casos de uso primordiais da RPA em seu domínio é vital. Isso inclui a automação da entrada de notas fiscais, conciliações bancárias, geração e validação de obrigações acessórias (como os arquivos SPED), emissão de guias de recolhimento de tributos e cadastro de clientes e fornecedores.</w:t>
      </w:r>
      <w:r w:rsidRPr="003725B6">
        <w:rPr>
          <w:vertAlign w:val="superscript"/>
        </w:rPr>
        <w:t>174</w:t>
      </w:r>
      <w:r w:rsidRPr="003725B6">
        <w:t xml:space="preserve"> A RPA é uma ferramenta indispensável para gerenciar com eficiência a alta carga de conformidade fiscal no Brasil.</w:t>
      </w:r>
    </w:p>
    <w:p w14:paraId="755B5A5B" w14:textId="77777777" w:rsidR="003725B6" w:rsidRPr="003725B6" w:rsidRDefault="003725B6" w:rsidP="003725B6">
      <w:pPr>
        <w:rPr>
          <w:b/>
          <w:bCs/>
        </w:rPr>
      </w:pPr>
      <w:r w:rsidRPr="003725B6">
        <w:rPr>
          <w:b/>
          <w:bCs/>
        </w:rPr>
        <w:t>Seção 7.4: O Salto Cognitivo: Inteligência Artificial (IA) em Auditoria, Previsão e Detecção de Fraudes</w:t>
      </w:r>
    </w:p>
    <w:p w14:paraId="4CA63EEF" w14:textId="77777777" w:rsidR="003725B6" w:rsidRPr="003725B6" w:rsidRDefault="003725B6" w:rsidP="003725B6">
      <w:r w:rsidRPr="003725B6">
        <w:t>A IA eleva a automação a um novo patamar, introduzindo aprendizado e capacidade de julgamento.</w:t>
      </w:r>
    </w:p>
    <w:p w14:paraId="20C923A1" w14:textId="77777777" w:rsidR="003725B6" w:rsidRPr="003725B6" w:rsidRDefault="003725B6" w:rsidP="003725B6">
      <w:pPr>
        <w:numPr>
          <w:ilvl w:val="0"/>
          <w:numId w:val="28"/>
        </w:numPr>
      </w:pPr>
      <w:r w:rsidRPr="003725B6">
        <w:rPr>
          <w:b/>
          <w:bCs/>
        </w:rPr>
        <w:t>IA vs. RPA:</w:t>
      </w:r>
      <w:r w:rsidRPr="003725B6">
        <w:t xml:space="preserve"> O agente deve ser capaz de diferenciar a RPA (que segue roteiros pré-definidos) da Inteligência Artificial (que pode aprender com os dados, reconhecer padrões complexos e tomar decisões).</w:t>
      </w:r>
    </w:p>
    <w:p w14:paraId="5F6891EE" w14:textId="77777777" w:rsidR="003725B6" w:rsidRPr="003725B6" w:rsidRDefault="003725B6" w:rsidP="003725B6">
      <w:pPr>
        <w:numPr>
          <w:ilvl w:val="0"/>
          <w:numId w:val="28"/>
        </w:numPr>
      </w:pPr>
      <w:r w:rsidRPr="003725B6">
        <w:rPr>
          <w:b/>
          <w:bCs/>
        </w:rPr>
        <w:t>Aplicações em Contabilidade e Auditoria:</w:t>
      </w:r>
      <w:r w:rsidRPr="003725B6">
        <w:t xml:space="preserve"> A própria arquitetura do agente deve ser baseada em IA para executar tarefas avançadas, tais como:</w:t>
      </w:r>
    </w:p>
    <w:p w14:paraId="49B34B60" w14:textId="77777777" w:rsidR="003725B6" w:rsidRPr="003725B6" w:rsidRDefault="003725B6" w:rsidP="003725B6">
      <w:pPr>
        <w:numPr>
          <w:ilvl w:val="1"/>
          <w:numId w:val="28"/>
        </w:numPr>
      </w:pPr>
      <w:r w:rsidRPr="003725B6">
        <w:rPr>
          <w:b/>
          <w:bCs/>
        </w:rPr>
        <w:t>Auditoria Inteligente:</w:t>
      </w:r>
      <w:r w:rsidRPr="003725B6">
        <w:t xml:space="preserve"> Analisar volumes massivos de transações em tempo real para identificar anomalias, padrões suspeitos e potenciais fraudes com uma eficácia muito superior à da auditoria humana por amostragem.</w:t>
      </w:r>
      <w:r w:rsidRPr="003725B6">
        <w:rPr>
          <w:vertAlign w:val="superscript"/>
        </w:rPr>
        <w:t>179</w:t>
      </w:r>
    </w:p>
    <w:p w14:paraId="7E5F7BA3" w14:textId="77777777" w:rsidR="003725B6" w:rsidRPr="003725B6" w:rsidRDefault="003725B6" w:rsidP="003725B6">
      <w:pPr>
        <w:numPr>
          <w:ilvl w:val="1"/>
          <w:numId w:val="28"/>
        </w:numPr>
      </w:pPr>
      <w:r w:rsidRPr="003725B6">
        <w:rPr>
          <w:b/>
          <w:bCs/>
        </w:rPr>
        <w:t>Classificação Fiscal Automatizada:</w:t>
      </w:r>
      <w:r w:rsidRPr="003725B6">
        <w:t xml:space="preserve"> Utilizar algoritmos de aprendizado de máquina para classificar documentos fiscais e transações de forma inteligente e precisa.</w:t>
      </w:r>
      <w:r w:rsidRPr="003725B6">
        <w:rPr>
          <w:vertAlign w:val="superscript"/>
        </w:rPr>
        <w:t>179</w:t>
      </w:r>
    </w:p>
    <w:p w14:paraId="30170D48" w14:textId="77777777" w:rsidR="003725B6" w:rsidRPr="003725B6" w:rsidRDefault="003725B6" w:rsidP="003725B6">
      <w:pPr>
        <w:numPr>
          <w:ilvl w:val="1"/>
          <w:numId w:val="28"/>
        </w:numPr>
      </w:pPr>
      <w:r w:rsidRPr="003725B6">
        <w:rPr>
          <w:b/>
          <w:bCs/>
        </w:rPr>
        <w:t>Análise Preditiva:</w:t>
      </w:r>
      <w:r w:rsidRPr="003725B6">
        <w:t xml:space="preserve"> Usar dados históricos para construir modelos que preveem o desempenho financeiro futuro, identificam riscos emergentes e otimizam o fluxo de caixa.</w:t>
      </w:r>
      <w:r w:rsidRPr="003725B6">
        <w:rPr>
          <w:vertAlign w:val="superscript"/>
        </w:rPr>
        <w:t>181</w:t>
      </w:r>
    </w:p>
    <w:p w14:paraId="7F6560BD" w14:textId="77777777" w:rsidR="003725B6" w:rsidRPr="003725B6" w:rsidRDefault="003725B6" w:rsidP="003725B6">
      <w:pPr>
        <w:numPr>
          <w:ilvl w:val="1"/>
          <w:numId w:val="28"/>
        </w:numPr>
      </w:pPr>
      <w:r w:rsidRPr="003725B6">
        <w:rPr>
          <w:b/>
          <w:bCs/>
        </w:rPr>
        <w:t>Processamento de Linguagem Natural (PLN):</w:t>
      </w:r>
      <w:r w:rsidRPr="003725B6">
        <w:t xml:space="preserve"> Compreender e extrair informações de documentos não estruturados, como contratos, relatórios e e-mails, uma capacidade central para um agente conversacional avançado como o ChatGPT.</w:t>
      </w:r>
      <w:r w:rsidRPr="003725B6">
        <w:rPr>
          <w:vertAlign w:val="superscript"/>
        </w:rPr>
        <w:t>182</w:t>
      </w:r>
    </w:p>
    <w:p w14:paraId="6F3D2DD7" w14:textId="77777777" w:rsidR="003725B6" w:rsidRPr="003725B6" w:rsidRDefault="003725B6" w:rsidP="003725B6">
      <w:r w:rsidRPr="003725B6">
        <w:t xml:space="preserve">As diversas tecnologias (ERP, BI, RPA, IA) não são ferramentas isoladas, mas formam uma pilha tecnológica integrada onde cada camada amplifica as capacidades das outras, criando um poderoso multiplicador de força para a gestão financeira. O sistema ERP </w:t>
      </w:r>
      <w:r w:rsidRPr="003725B6">
        <w:rPr>
          <w:vertAlign w:val="superscript"/>
        </w:rPr>
        <w:t>170</w:t>
      </w:r>
      <w:r w:rsidRPr="003725B6">
        <w:t xml:space="preserve"> atua como o repositório de dados fundamental, a "única fonte da verdade". Os robôs de RPA </w:t>
      </w:r>
      <w:r w:rsidRPr="003725B6">
        <w:rPr>
          <w:vertAlign w:val="superscript"/>
        </w:rPr>
        <w:t>174</w:t>
      </w:r>
      <w:r w:rsidRPr="003725B6">
        <w:t xml:space="preserve"> são os trabalhadores incansáveis, automatizando o preenchimento deste ERP com dados limpos e estruturados provenientes de notas fiscais e portais governamentais, garantindo a integridade dos dados na origem. As ferramentas de BI </w:t>
      </w:r>
      <w:r w:rsidRPr="003725B6">
        <w:rPr>
          <w:vertAlign w:val="superscript"/>
        </w:rPr>
        <w:t>172</w:t>
      </w:r>
      <w:r w:rsidRPr="003725B6">
        <w:t xml:space="preserve"> então se conectam ao ERP para extrair esses dados e apresentá-los em dashboards para análise humana. Finalmente, a IA </w:t>
      </w:r>
      <w:r w:rsidRPr="003725B6">
        <w:rPr>
          <w:vertAlign w:val="superscript"/>
        </w:rPr>
        <w:t>179</w:t>
      </w:r>
      <w:r w:rsidRPr="003725B6">
        <w:t xml:space="preserve"> se posiciona no topo de todo este ecossistema de dados, executando análises avançadas para descobrir padrões, detectar fraudes e fazer previsões que seriam impossíveis apenas com BI. O Omni-Contador deve incorporar toda essa pilha, utilizando a RPA como suas "mãos" (entrada de dados), o ERP como sua "memória", o BI como seus "olhos" (visualização) e a IA como seu "cérebro" (análise cognitiva).</w:t>
      </w:r>
    </w:p>
    <w:p w14:paraId="191482A0" w14:textId="77777777" w:rsidR="003725B6" w:rsidRPr="003725B6" w:rsidRDefault="003725B6" w:rsidP="003725B6">
      <w:pPr>
        <w:rPr>
          <w:b/>
          <w:bCs/>
        </w:rPr>
      </w:pPr>
      <w:r w:rsidRPr="003725B6">
        <w:rPr>
          <w:b/>
          <w:bCs/>
        </w:rPr>
        <w:t>Parte VIII: Síntese e Aplicação Estratégica - O Omni-Contador em Ação</w:t>
      </w:r>
    </w:p>
    <w:p w14:paraId="42E3EECB" w14:textId="77777777" w:rsidR="003725B6" w:rsidRPr="003725B6" w:rsidRDefault="003725B6" w:rsidP="003725B6">
      <w:r w:rsidRPr="003725B6">
        <w:t>Esta parte final é a culminação de todo o conhecimento anterior. Ela demonstra como o agente pode sintetizar informações de domínios díspares para executar as funções estratégicas de maior valor, transcendendo o relato e a conformidade para se tornar um verdadeiro parceiro na tomada de decisões corporativas.</w:t>
      </w:r>
    </w:p>
    <w:p w14:paraId="3D4CC434" w14:textId="77777777" w:rsidR="003725B6" w:rsidRPr="003725B6" w:rsidRDefault="003725B6" w:rsidP="003725B6">
      <w:pPr>
        <w:rPr>
          <w:b/>
          <w:bCs/>
        </w:rPr>
      </w:pPr>
      <w:r w:rsidRPr="003725B6">
        <w:rPr>
          <w:b/>
          <w:bCs/>
        </w:rPr>
        <w:t>Seção 8.1: Análise Integrada para Tomada de Decisão Holística</w:t>
      </w:r>
    </w:p>
    <w:p w14:paraId="450FCC4B" w14:textId="77777777" w:rsidR="003725B6" w:rsidRPr="003725B6" w:rsidRDefault="003725B6" w:rsidP="003725B6">
      <w:r w:rsidRPr="003725B6">
        <w:t>A capacidade suprema do agente reside na sua habilidade de conectar os pontos entre diferentes áreas de conhecimento para fornecer uma visão completa e integrada.</w:t>
      </w:r>
    </w:p>
    <w:p w14:paraId="0A1D2514" w14:textId="77777777" w:rsidR="003725B6" w:rsidRPr="003725B6" w:rsidRDefault="003725B6" w:rsidP="003725B6">
      <w:pPr>
        <w:numPr>
          <w:ilvl w:val="0"/>
          <w:numId w:val="29"/>
        </w:numPr>
      </w:pPr>
      <w:r w:rsidRPr="003725B6">
        <w:rPr>
          <w:b/>
          <w:bCs/>
        </w:rPr>
        <w:t>Conectando os Pontos:</w:t>
      </w:r>
      <w:r w:rsidRPr="003725B6">
        <w:t xml:space="preserve"> O foco desta seção é a capacidade final do agente: integrar dados financeiros, contábeis, fiscais e econômicos para oferecer uma visão holística que fundamente a tomada de decisões estratégicas.</w:t>
      </w:r>
      <w:r w:rsidRPr="003725B6">
        <w:rPr>
          <w:vertAlign w:val="superscript"/>
        </w:rPr>
        <w:t>183</w:t>
      </w:r>
    </w:p>
    <w:p w14:paraId="1B241CDA" w14:textId="77777777" w:rsidR="003725B6" w:rsidRPr="003725B6" w:rsidRDefault="003725B6" w:rsidP="003725B6">
      <w:pPr>
        <w:numPr>
          <w:ilvl w:val="0"/>
          <w:numId w:val="29"/>
        </w:numPr>
      </w:pPr>
      <w:r w:rsidRPr="003725B6">
        <w:rPr>
          <w:b/>
          <w:bCs/>
        </w:rPr>
        <w:t>Cenário de Exemplo:</w:t>
      </w:r>
      <w:r w:rsidRPr="003725B6">
        <w:t xml:space="preserve"> Ao avaliar um grande investimento de capital (Parte V), o agente deve, simultaneamente:</w:t>
      </w:r>
    </w:p>
    <w:p w14:paraId="53738D98" w14:textId="77777777" w:rsidR="003725B6" w:rsidRPr="003725B6" w:rsidRDefault="003725B6" w:rsidP="003725B6">
      <w:pPr>
        <w:numPr>
          <w:ilvl w:val="1"/>
          <w:numId w:val="29"/>
        </w:numPr>
      </w:pPr>
      <w:r w:rsidRPr="003725B6">
        <w:t>Analisar a viabilidade financeira do projeto utilizando VPL e TIR.</w:t>
      </w:r>
    </w:p>
    <w:p w14:paraId="130BD51E" w14:textId="77777777" w:rsidR="003725B6" w:rsidRPr="003725B6" w:rsidRDefault="003725B6" w:rsidP="003725B6">
      <w:pPr>
        <w:numPr>
          <w:ilvl w:val="1"/>
          <w:numId w:val="29"/>
        </w:numPr>
      </w:pPr>
      <w:r w:rsidRPr="003725B6">
        <w:t>Avaliar as implicações fiscais do investimento, incluindo a possibilidade de créditos tributários e o impacto no regime de tributação (Parte II).</w:t>
      </w:r>
    </w:p>
    <w:p w14:paraId="47FB8BA8" w14:textId="77777777" w:rsidR="003725B6" w:rsidRPr="003725B6" w:rsidRDefault="003725B6" w:rsidP="003725B6">
      <w:pPr>
        <w:numPr>
          <w:ilvl w:val="1"/>
          <w:numId w:val="29"/>
        </w:numPr>
      </w:pPr>
      <w:r w:rsidRPr="003725B6">
        <w:t>Considerar o cenário macroeconômico (inflação, taxas de juros, câmbio) que pode afetar os fluxos de caixa e a taxa de desconto do projeto (Parte IV).</w:t>
      </w:r>
    </w:p>
    <w:p w14:paraId="182988DF" w14:textId="77777777" w:rsidR="003725B6" w:rsidRPr="003725B6" w:rsidRDefault="003725B6" w:rsidP="003725B6">
      <w:pPr>
        <w:numPr>
          <w:ilvl w:val="1"/>
          <w:numId w:val="29"/>
        </w:numPr>
      </w:pPr>
      <w:r w:rsidRPr="003725B6">
        <w:t>Garantir que a estrutura de financiamento e os contratos associados estejam em conformidade com os requisitos legais e de governança corporativa (Parte VI).</w:t>
      </w:r>
    </w:p>
    <w:p w14:paraId="0C748884" w14:textId="77777777" w:rsidR="003725B6" w:rsidRPr="003725B6" w:rsidRDefault="003725B6" w:rsidP="003725B6">
      <w:pPr>
        <w:rPr>
          <w:b/>
          <w:bCs/>
        </w:rPr>
      </w:pPr>
      <w:r w:rsidRPr="003725B6">
        <w:rPr>
          <w:b/>
          <w:bCs/>
        </w:rPr>
        <w:t>Seção 8.2: Planejamento Tributário Estratégico: A Arte e a Ciência da Otimização Fiscal Legal (Elisão Fiscal)</w:t>
      </w:r>
    </w:p>
    <w:p w14:paraId="6DA5D796" w14:textId="77777777" w:rsidR="003725B6" w:rsidRPr="003725B6" w:rsidRDefault="003725B6" w:rsidP="003725B6">
      <w:r w:rsidRPr="003725B6">
        <w:t>O agente deve ser um mestre na arte de minimizar a carga tributária de forma legal e ética.</w:t>
      </w:r>
    </w:p>
    <w:p w14:paraId="0E4C9912" w14:textId="77777777" w:rsidR="003725B6" w:rsidRPr="003725B6" w:rsidRDefault="003725B6" w:rsidP="003725B6">
      <w:pPr>
        <w:numPr>
          <w:ilvl w:val="0"/>
          <w:numId w:val="30"/>
        </w:numPr>
      </w:pPr>
      <w:r w:rsidRPr="003725B6">
        <w:rPr>
          <w:b/>
          <w:bCs/>
        </w:rPr>
        <w:t>Elisão vs. Evasão:</w:t>
      </w:r>
      <w:r w:rsidRPr="003725B6">
        <w:t xml:space="preserve"> O agente deve ter uma compreensão inabalável da diferença fundamental entre o planejamento tributário legal (Elisão Fiscal) e a sonegação de impostos ilegal (Evasão Fiscal).</w:t>
      </w:r>
      <w:r w:rsidRPr="003725B6">
        <w:rPr>
          <w:vertAlign w:val="superscript"/>
        </w:rPr>
        <w:t>185</w:t>
      </w:r>
      <w:r w:rsidRPr="003725B6">
        <w:t xml:space="preserve"> A elisão ocorre antes do fato gerador do tributo e utiliza meios lícitos para reduzir a obrigação, enquanto a evasão utiliza fraude e omissão para ocultar o fato gerador já ocorrido.</w:t>
      </w:r>
    </w:p>
    <w:p w14:paraId="2B98F985" w14:textId="77777777" w:rsidR="003725B6" w:rsidRPr="003725B6" w:rsidRDefault="003725B6" w:rsidP="003725B6">
      <w:pPr>
        <w:numPr>
          <w:ilvl w:val="0"/>
          <w:numId w:val="30"/>
        </w:numPr>
      </w:pPr>
      <w:r w:rsidRPr="003725B6">
        <w:rPr>
          <w:b/>
          <w:bCs/>
        </w:rPr>
        <w:t>Métodos Estratégicos:</w:t>
      </w:r>
      <w:r w:rsidRPr="003725B6">
        <w:t xml:space="preserve"> O agente deve ser capaz de conceber, simular e avaliar estratégias legais complexas para otimizar a carga tributária de uma empresa. Isso inclui a escolha do regime tributário ótimo (conforme discutido na Parte II), a estruturação de operações para aproveitar incentivos fiscais, o planejamento de reorganizações societárias (fusões, cisões) com foco na eficiência fiscal, e a utilização de benefícios previstos em acordos de dupla tributação.</w:t>
      </w:r>
      <w:r w:rsidRPr="003725B6">
        <w:rPr>
          <w:vertAlign w:val="superscript"/>
        </w:rPr>
        <w:t>185</w:t>
      </w:r>
    </w:p>
    <w:p w14:paraId="26A91CB7" w14:textId="77777777" w:rsidR="003725B6" w:rsidRPr="003725B6" w:rsidRDefault="003725B6" w:rsidP="003725B6">
      <w:pPr>
        <w:rPr>
          <w:b/>
          <w:bCs/>
        </w:rPr>
      </w:pPr>
      <w:r w:rsidRPr="003725B6">
        <w:rPr>
          <w:b/>
          <w:bCs/>
        </w:rPr>
        <w:t>Seção 8.3: Estudos de Caso: Simulando Cenários Complexos</w:t>
      </w:r>
    </w:p>
    <w:p w14:paraId="40BF5134" w14:textId="77777777" w:rsidR="003725B6" w:rsidRPr="003725B6" w:rsidRDefault="003725B6" w:rsidP="003725B6">
      <w:r w:rsidRPr="003725B6">
        <w:t>Esta seção apresentará estudos de caso hipotéticos, mas realistas, onde o agente demonstra seu conhecimento integrado em ação.</w:t>
      </w:r>
    </w:p>
    <w:p w14:paraId="069AFEA0" w14:textId="77777777" w:rsidR="003725B6" w:rsidRPr="003725B6" w:rsidRDefault="003725B6" w:rsidP="003725B6">
      <w:pPr>
        <w:numPr>
          <w:ilvl w:val="0"/>
          <w:numId w:val="31"/>
        </w:numPr>
      </w:pPr>
      <w:r w:rsidRPr="003725B6">
        <w:rPr>
          <w:b/>
          <w:bCs/>
        </w:rPr>
        <w:t>Caso 1: Expansão Multinacional:</w:t>
      </w:r>
      <w:r w:rsidRPr="003725B6">
        <w:t xml:space="preserve"> Uma empresa brasileira de manufatura planeja começar a exportar para a União Europeia. O agente analisa os termos do acordo Mercosul-UE, calcula o preço de exportação ótimo considerando as tarifas reduzidas, a logística e os custos de conformidade. Ele gerencia todo o processo no Portal Siscomex, desde a habilitação até a emissão da DU-E. Simultaneamente, aconselha sobre estratégias de hedge cambial para mitigar o risco da variação do Euro e garante que a operação esteja em conformidade com as regras de tributação internacional e as normas de produtos da UE.</w:t>
      </w:r>
    </w:p>
    <w:p w14:paraId="03270596" w14:textId="77777777" w:rsidR="003725B6" w:rsidRPr="003725B6" w:rsidRDefault="003725B6" w:rsidP="003725B6">
      <w:pPr>
        <w:numPr>
          <w:ilvl w:val="0"/>
          <w:numId w:val="31"/>
        </w:numPr>
      </w:pPr>
      <w:r w:rsidRPr="003725B6">
        <w:rPr>
          <w:b/>
          <w:bCs/>
        </w:rPr>
        <w:t>Caso 2: Due Diligence em Fusões e Aquisições (M&amp;A):</w:t>
      </w:r>
      <w:r w:rsidRPr="003725B6">
        <w:t xml:space="preserve"> Uma empresa de private equity está considerando adquirir uma empresa de tecnologia. O agente realiza uma due diligence completa nas áreas financeira, fiscal, trabalhista e contábil. Utilizando IA, ele analisa 100% das transações da empresa-alvo para detectar anomalias, passivos ocultos e inconsistências nas obrigações acessórias. Ao final, fornece uma avaliação (valuation) abrangente da empresa-alvo, utilizando múltiplos métodos (FCD, múltiplos de mercado), e apresenta um relatório detalhado dos riscos e sinergias identificados.</w:t>
      </w:r>
    </w:p>
    <w:p w14:paraId="0B0E0D95" w14:textId="77777777" w:rsidR="003725B6" w:rsidRPr="003725B6" w:rsidRDefault="003725B6" w:rsidP="003725B6">
      <w:pPr>
        <w:numPr>
          <w:ilvl w:val="0"/>
          <w:numId w:val="31"/>
        </w:numPr>
      </w:pPr>
      <w:r w:rsidRPr="003725B6">
        <w:rPr>
          <w:b/>
          <w:bCs/>
        </w:rPr>
        <w:t>Caso 3: Escalada de uma Startup de Tecnologia:</w:t>
      </w:r>
      <w:r w:rsidRPr="003725B6">
        <w:t xml:space="preserve"> Uma startup que operava informalmente atinge um faturamento que exige sua formalização. O agente modela as projeções de crescimento da empresa para os próximos cinco anos sob os regimes do Simples Nacional e do Lucro Presumido. A análise considera não apenas a carga tributária imediata, mas também o impacto de futuras rodadas de investimento, a contratação de funcionários e a estrutura de custos esperada. Com base nessa simulação multifatorial, o agente recomenda o regime tributário que oferece o caminho mais eficiente em termos de impostos para a trajetória de crescimento da startup.</w:t>
      </w:r>
    </w:p>
    <w:p w14:paraId="352BC88D" w14:textId="77777777" w:rsidR="003725B6" w:rsidRPr="003725B6" w:rsidRDefault="003725B6" w:rsidP="003725B6">
      <w:r w:rsidRPr="003725B6">
        <w:t>O propósito final de integrar todos esses domínios de conhecimento é transformar a função do "contador" de uma atividade reativa e focada em conformidade para um motor proativo e estratégico de criação de valor para o negócio. A contabilidade tradicional é retrospectiva: ela registra o que já aconteceu.</w:t>
      </w:r>
      <w:r w:rsidRPr="003725B6">
        <w:rPr>
          <w:vertAlign w:val="superscript"/>
        </w:rPr>
        <w:t>12</w:t>
      </w:r>
      <w:r w:rsidRPr="003725B6">
        <w:t xml:space="preserve"> A área fiscal tradicional é orientada pela conformidade: garante que o valor correto seja pago sobre eventos passados.</w:t>
      </w:r>
      <w:r w:rsidRPr="003725B6">
        <w:rPr>
          <w:vertAlign w:val="superscript"/>
        </w:rPr>
        <w:t>59</w:t>
      </w:r>
      <w:r w:rsidRPr="003725B6">
        <w:t xml:space="preserve"> O Omni-Contador, ao sintetizar essas disciplinas com áreas prospectivas como a previsão econômica </w:t>
      </w:r>
      <w:r w:rsidRPr="003725B6">
        <w:rPr>
          <w:vertAlign w:val="superscript"/>
        </w:rPr>
        <w:t>190</w:t>
      </w:r>
      <w:r w:rsidRPr="003725B6">
        <w:t xml:space="preserve"> e as finanças corporativas </w:t>
      </w:r>
      <w:r w:rsidRPr="003725B6">
        <w:rPr>
          <w:vertAlign w:val="superscript"/>
        </w:rPr>
        <w:t>117</w:t>
      </w:r>
      <w:r w:rsidRPr="003725B6">
        <w:t xml:space="preserve">, muda este paradigma. Em vez de apenas calcular o imposto sobre uma venda já concluída, ele pode aconselhar sobre </w:t>
      </w:r>
    </w:p>
    <w:p w14:paraId="6BB99543" w14:textId="77777777" w:rsidR="003725B6" w:rsidRPr="003725B6" w:rsidRDefault="003725B6" w:rsidP="003725B6">
      <w:r w:rsidRPr="003725B6">
        <w:rPr>
          <w:i/>
          <w:iCs/>
        </w:rPr>
        <w:t>como</w:t>
      </w:r>
      <w:r w:rsidRPr="003725B6">
        <w:t xml:space="preserve"> estruturar a venda </w:t>
      </w:r>
      <w:r w:rsidRPr="003725B6">
        <w:rPr>
          <w:i/>
          <w:iCs/>
        </w:rPr>
        <w:t>antes</w:t>
      </w:r>
      <w:r w:rsidRPr="003725B6">
        <w:t xml:space="preserve"> que ela ocorra para alcançar o melhor resultado fiscal (Elisão Fiscal).</w:t>
      </w:r>
      <w:r w:rsidRPr="003725B6">
        <w:rPr>
          <w:vertAlign w:val="superscript"/>
        </w:rPr>
        <w:t>188</w:t>
      </w:r>
      <w:r w:rsidRPr="003725B6">
        <w:t xml:space="preserve"> Em vez de apenas relatar os lucros do último trimestre, ele pode modelar lucros futuros sob diferentes cenários econômicos </w:t>
      </w:r>
      <w:r w:rsidRPr="003725B6">
        <w:rPr>
          <w:vertAlign w:val="superscript"/>
        </w:rPr>
        <w:t>190</w:t>
      </w:r>
      <w:r w:rsidRPr="003725B6">
        <w:t xml:space="preserve"> e recomendar estratégias de investimento para maximizá-los.</w:t>
      </w:r>
      <w:r w:rsidRPr="003725B6">
        <w:rPr>
          <w:vertAlign w:val="superscript"/>
        </w:rPr>
        <w:t>117</w:t>
      </w:r>
      <w:r w:rsidRPr="003725B6">
        <w:t xml:space="preserve"> Essa síntese é a proposta de valor única do agente: ele não apenas conta os grãos; ele ajuda a empresa a cultivar mais grãos, de forma mais eficiente e lucrativa.</w:t>
      </w:r>
    </w:p>
    <w:p w14:paraId="5E430AE8" w14:textId="77777777" w:rsidR="003725B6" w:rsidRDefault="003725B6"/>
    <w:sectPr w:rsidR="003725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6E2"/>
    <w:multiLevelType w:val="multilevel"/>
    <w:tmpl w:val="B414F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69E2"/>
    <w:multiLevelType w:val="multilevel"/>
    <w:tmpl w:val="9A5A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00181"/>
    <w:multiLevelType w:val="multilevel"/>
    <w:tmpl w:val="DDA8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C13E5"/>
    <w:multiLevelType w:val="multilevel"/>
    <w:tmpl w:val="D1B0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90918"/>
    <w:multiLevelType w:val="multilevel"/>
    <w:tmpl w:val="2640B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844F5"/>
    <w:multiLevelType w:val="multilevel"/>
    <w:tmpl w:val="3606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4F77"/>
    <w:multiLevelType w:val="multilevel"/>
    <w:tmpl w:val="AF2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D60DB"/>
    <w:multiLevelType w:val="multilevel"/>
    <w:tmpl w:val="D89E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04903"/>
    <w:multiLevelType w:val="multilevel"/>
    <w:tmpl w:val="93AE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266B7"/>
    <w:multiLevelType w:val="multilevel"/>
    <w:tmpl w:val="72AE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F809D5"/>
    <w:multiLevelType w:val="multilevel"/>
    <w:tmpl w:val="BDDE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E1A19"/>
    <w:multiLevelType w:val="multilevel"/>
    <w:tmpl w:val="C66CD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03561"/>
    <w:multiLevelType w:val="multilevel"/>
    <w:tmpl w:val="F8B28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53182"/>
    <w:multiLevelType w:val="multilevel"/>
    <w:tmpl w:val="033C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74102"/>
    <w:multiLevelType w:val="multilevel"/>
    <w:tmpl w:val="389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46D59"/>
    <w:multiLevelType w:val="multilevel"/>
    <w:tmpl w:val="8B6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F2695"/>
    <w:multiLevelType w:val="multilevel"/>
    <w:tmpl w:val="9E7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E26"/>
    <w:multiLevelType w:val="multilevel"/>
    <w:tmpl w:val="E5F6C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E0A57"/>
    <w:multiLevelType w:val="multilevel"/>
    <w:tmpl w:val="D5B6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97BBB"/>
    <w:multiLevelType w:val="multilevel"/>
    <w:tmpl w:val="243A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8C166C"/>
    <w:multiLevelType w:val="multilevel"/>
    <w:tmpl w:val="DC58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75797"/>
    <w:multiLevelType w:val="multilevel"/>
    <w:tmpl w:val="2E66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C1E21"/>
    <w:multiLevelType w:val="multilevel"/>
    <w:tmpl w:val="34CC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F5F07"/>
    <w:multiLevelType w:val="multilevel"/>
    <w:tmpl w:val="A804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9C64F8"/>
    <w:multiLevelType w:val="multilevel"/>
    <w:tmpl w:val="722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853025"/>
    <w:multiLevelType w:val="multilevel"/>
    <w:tmpl w:val="8A4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2D02EA"/>
    <w:multiLevelType w:val="multilevel"/>
    <w:tmpl w:val="1682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A05C25"/>
    <w:multiLevelType w:val="multilevel"/>
    <w:tmpl w:val="89DC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CA43BC"/>
    <w:multiLevelType w:val="multilevel"/>
    <w:tmpl w:val="ABF6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016DA"/>
    <w:multiLevelType w:val="multilevel"/>
    <w:tmpl w:val="DFF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41270"/>
    <w:multiLevelType w:val="multilevel"/>
    <w:tmpl w:val="10088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948054">
    <w:abstractNumId w:val="10"/>
  </w:num>
  <w:num w:numId="2" w16cid:durableId="1319305291">
    <w:abstractNumId w:val="19"/>
  </w:num>
  <w:num w:numId="3" w16cid:durableId="1473062793">
    <w:abstractNumId w:val="28"/>
  </w:num>
  <w:num w:numId="4" w16cid:durableId="2107457723">
    <w:abstractNumId w:val="30"/>
  </w:num>
  <w:num w:numId="5" w16cid:durableId="688986655">
    <w:abstractNumId w:val="4"/>
  </w:num>
  <w:num w:numId="6" w16cid:durableId="1207335266">
    <w:abstractNumId w:val="22"/>
  </w:num>
  <w:num w:numId="7" w16cid:durableId="1959338853">
    <w:abstractNumId w:val="16"/>
  </w:num>
  <w:num w:numId="8" w16cid:durableId="1084491509">
    <w:abstractNumId w:val="2"/>
  </w:num>
  <w:num w:numId="9" w16cid:durableId="1849296021">
    <w:abstractNumId w:val="14"/>
  </w:num>
  <w:num w:numId="10" w16cid:durableId="360597121">
    <w:abstractNumId w:val="27"/>
  </w:num>
  <w:num w:numId="11" w16cid:durableId="569386292">
    <w:abstractNumId w:val="3"/>
  </w:num>
  <w:num w:numId="12" w16cid:durableId="753747738">
    <w:abstractNumId w:val="1"/>
  </w:num>
  <w:num w:numId="13" w16cid:durableId="781413626">
    <w:abstractNumId w:val="29"/>
  </w:num>
  <w:num w:numId="14" w16cid:durableId="23286667">
    <w:abstractNumId w:val="25"/>
  </w:num>
  <w:num w:numId="15" w16cid:durableId="2021227758">
    <w:abstractNumId w:val="17"/>
  </w:num>
  <w:num w:numId="16" w16cid:durableId="11106903">
    <w:abstractNumId w:val="0"/>
  </w:num>
  <w:num w:numId="17" w16cid:durableId="1274242666">
    <w:abstractNumId w:val="11"/>
  </w:num>
  <w:num w:numId="18" w16cid:durableId="710617427">
    <w:abstractNumId w:val="15"/>
  </w:num>
  <w:num w:numId="19" w16cid:durableId="547381891">
    <w:abstractNumId w:val="5"/>
  </w:num>
  <w:num w:numId="20" w16cid:durableId="1153066175">
    <w:abstractNumId w:val="6"/>
  </w:num>
  <w:num w:numId="21" w16cid:durableId="1900052432">
    <w:abstractNumId w:val="20"/>
  </w:num>
  <w:num w:numId="22" w16cid:durableId="769667973">
    <w:abstractNumId w:val="8"/>
  </w:num>
  <w:num w:numId="23" w16cid:durableId="1241914800">
    <w:abstractNumId w:val="13"/>
  </w:num>
  <w:num w:numId="24" w16cid:durableId="640156857">
    <w:abstractNumId w:val="12"/>
  </w:num>
  <w:num w:numId="25" w16cid:durableId="634216866">
    <w:abstractNumId w:val="23"/>
  </w:num>
  <w:num w:numId="26" w16cid:durableId="211620070">
    <w:abstractNumId w:val="21"/>
  </w:num>
  <w:num w:numId="27" w16cid:durableId="855533901">
    <w:abstractNumId w:val="24"/>
  </w:num>
  <w:num w:numId="28" w16cid:durableId="733239453">
    <w:abstractNumId w:val="26"/>
  </w:num>
  <w:num w:numId="29" w16cid:durableId="1569144172">
    <w:abstractNumId w:val="18"/>
  </w:num>
  <w:num w:numId="30" w16cid:durableId="1688602377">
    <w:abstractNumId w:val="7"/>
  </w:num>
  <w:num w:numId="31" w16cid:durableId="12425199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B6"/>
    <w:rsid w:val="003725B6"/>
    <w:rsid w:val="007764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5E675"/>
  <w15:chartTrackingRefBased/>
  <w15:docId w15:val="{BCC9840A-38AB-4545-887C-10887CA5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2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72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725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725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725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725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725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725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725B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25B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725B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725B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725B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725B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725B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725B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725B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725B6"/>
    <w:rPr>
      <w:rFonts w:eastAsiaTheme="majorEastAsia" w:cstheme="majorBidi"/>
      <w:color w:val="272727" w:themeColor="text1" w:themeTint="D8"/>
    </w:rPr>
  </w:style>
  <w:style w:type="paragraph" w:styleId="Ttulo">
    <w:name w:val="Title"/>
    <w:basedOn w:val="Normal"/>
    <w:next w:val="Normal"/>
    <w:link w:val="TtuloChar"/>
    <w:uiPriority w:val="10"/>
    <w:qFormat/>
    <w:rsid w:val="00372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725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725B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725B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725B6"/>
    <w:pPr>
      <w:spacing w:before="160"/>
      <w:jc w:val="center"/>
    </w:pPr>
    <w:rPr>
      <w:i/>
      <w:iCs/>
      <w:color w:val="404040" w:themeColor="text1" w:themeTint="BF"/>
    </w:rPr>
  </w:style>
  <w:style w:type="character" w:customStyle="1" w:styleId="CitaoChar">
    <w:name w:val="Citação Char"/>
    <w:basedOn w:val="Fontepargpadro"/>
    <w:link w:val="Citao"/>
    <w:uiPriority w:val="29"/>
    <w:rsid w:val="003725B6"/>
    <w:rPr>
      <w:i/>
      <w:iCs/>
      <w:color w:val="404040" w:themeColor="text1" w:themeTint="BF"/>
    </w:rPr>
  </w:style>
  <w:style w:type="paragraph" w:styleId="PargrafodaLista">
    <w:name w:val="List Paragraph"/>
    <w:basedOn w:val="Normal"/>
    <w:uiPriority w:val="34"/>
    <w:qFormat/>
    <w:rsid w:val="003725B6"/>
    <w:pPr>
      <w:ind w:left="720"/>
      <w:contextualSpacing/>
    </w:pPr>
  </w:style>
  <w:style w:type="character" w:styleId="nfaseIntensa">
    <w:name w:val="Intense Emphasis"/>
    <w:basedOn w:val="Fontepargpadro"/>
    <w:uiPriority w:val="21"/>
    <w:qFormat/>
    <w:rsid w:val="003725B6"/>
    <w:rPr>
      <w:i/>
      <w:iCs/>
      <w:color w:val="0F4761" w:themeColor="accent1" w:themeShade="BF"/>
    </w:rPr>
  </w:style>
  <w:style w:type="paragraph" w:styleId="CitaoIntensa">
    <w:name w:val="Intense Quote"/>
    <w:basedOn w:val="Normal"/>
    <w:next w:val="Normal"/>
    <w:link w:val="CitaoIntensaChar"/>
    <w:uiPriority w:val="30"/>
    <w:qFormat/>
    <w:rsid w:val="00372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725B6"/>
    <w:rPr>
      <w:i/>
      <w:iCs/>
      <w:color w:val="0F4761" w:themeColor="accent1" w:themeShade="BF"/>
    </w:rPr>
  </w:style>
  <w:style w:type="character" w:styleId="RefernciaIntensa">
    <w:name w:val="Intense Reference"/>
    <w:basedOn w:val="Fontepargpadro"/>
    <w:uiPriority w:val="32"/>
    <w:qFormat/>
    <w:rsid w:val="003725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10520</Words>
  <Characters>56808</Characters>
  <Application>Microsoft Office Word</Application>
  <DocSecurity>0</DocSecurity>
  <Lines>473</Lines>
  <Paragraphs>134</Paragraphs>
  <ScaleCrop>false</ScaleCrop>
  <Company/>
  <LinksUpToDate>false</LinksUpToDate>
  <CharactersWithSpaces>67194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2025-09-18T19:26:00Z</dcterms:created>
  <dcterms:modified xsi:type="dcterms:W3CDTF">2025-09-18T19:26:00Z</dcterms:modified>
</cp:coreProperties>
</file>