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xbdayygfeg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55"/>
        <w:gridCol w:w="7290"/>
        <w:tblGridChange w:id="0">
          <w:tblGrid>
            <w:gridCol w:w="2355"/>
            <w:gridCol w:w="7290"/>
          </w:tblGrid>
        </w:tblGridChange>
      </w:tblGrid>
      <w:tr>
        <w:trPr>
          <w:cantSplit w:val="0"/>
          <w:trHeight w:val="2059.27897135416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el momento, el proyecto ha avanzado de manera muy favorable y acorde con la planificación inicial. Ya nos encontramos cerrando la primera parte centrados en la mantención general del sistema y adentrados de lleno en la segunda parte del proyecto. Durante este proceso hemos consolidado el desarrollo de los módulos principales, adaptándonos de forma eficiente a las nuevas solicitudes del cliente y manteniendo el cumplimiento de los objetivos clave establecidos.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Se mantienen vigentes los objetivos planteados en la Fase 1, centrados en diseñar e implementar una solución informática integral que responda a las necesidades del entorno, asegurando la correcta integración de los componentes del software y la escalabilidad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continúa aplicando una metodología de trabajo ágil basada en iteraciones cortas, apoyada por el uso de control de versiones en GitHub para la gestión del código y reuniones de coordinación constantes dentro del equipo.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2Gch/EFjArsZQt36qwksgMJOA==">CgMxLjAyDWgueGJkYXl5Z2ZlZ284AHIhMXVPSWhodzdLY1NOeHNkUnlHeVMtb1lPYVBUNmsyTl9Q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