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4C4984">
        <w:rPr>
          <w:rFonts w:eastAsia="Times New Roman" w:cstheme="minorHAnsi"/>
          <w:b/>
        </w:rPr>
        <w:t xml:space="preserve"> </w:t>
      </w:r>
      <w:r w:rsidR="00A61D21">
        <w:rPr>
          <w:rFonts w:eastAsia="Times New Roman" w:cstheme="minorHAnsi"/>
          <w:b/>
        </w:rPr>
        <w:t>50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EC38B2" w:rsidRDefault="00066CE8" w:rsidP="00DF6FA1">
      <w:pPr>
        <w:rPr>
          <w:rFonts w:cs="Times New Roman"/>
          <w:b/>
        </w:rPr>
      </w:pPr>
      <w:r w:rsidRPr="00EC38B2">
        <w:rPr>
          <w:rFonts w:cs="Times New Roman"/>
          <w:b/>
        </w:rPr>
        <w:t>Prerequisites: GIS-</w:t>
      </w:r>
      <w:r w:rsidR="004C4984" w:rsidRPr="00EC38B2">
        <w:rPr>
          <w:rFonts w:cs="Times New Roman"/>
          <w:b/>
        </w:rPr>
        <w:t>4</w:t>
      </w:r>
      <w:r w:rsidRPr="00EC38B2">
        <w:rPr>
          <w:rFonts w:cs="Times New Roman"/>
          <w:b/>
        </w:rPr>
        <w:t>090</w:t>
      </w:r>
      <w:r w:rsidR="00EC38B2" w:rsidRPr="00EC38B2">
        <w:rPr>
          <w:rFonts w:cs="Times New Roman"/>
          <w:b/>
        </w:rPr>
        <w:t xml:space="preserve"> or GIS 5090</w:t>
      </w:r>
      <w:r w:rsidRPr="00EC38B2">
        <w:rPr>
          <w:rFonts w:cs="Times New Roman"/>
          <w:b/>
        </w:rPr>
        <w:t>: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EC38B2" w:rsidRPr="00FE10BE" w:rsidRDefault="00EC38B2" w:rsidP="00EC38B2">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Pr>
          <w:rFonts w:cs="Segoe UI"/>
          <w:color w:val="24292E"/>
          <w:shd w:val="clear" w:color="auto" w:fill="FFFFFF"/>
        </w:rPr>
        <w:t>, Javascript,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Numpy</w:t>
        </w:r>
      </w:hyperlink>
      <w:r w:rsidRPr="00FE10BE">
        <w:rPr>
          <w:rFonts w:cs="Segoe UI"/>
          <w:color w:val="24292E"/>
          <w:shd w:val="clear" w:color="auto" w:fill="FFFFFF"/>
        </w:rPr>
        <w:t>, </w:t>
      </w:r>
      <w:hyperlink r:id="rId10"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1" w:history="1">
        <w:r w:rsidRPr="00FE10BE">
          <w:rPr>
            <w:rStyle w:val="Hyperlink"/>
            <w:rFonts w:cs="Segoe UI"/>
            <w:color w:val="0366D6"/>
            <w:u w:val="none"/>
            <w:shd w:val="clear" w:color="auto" w:fill="FFFFFF"/>
          </w:rPr>
          <w:t>Folium</w:t>
        </w:r>
      </w:hyperlink>
      <w:r>
        <w:rPr>
          <w:rFonts w:cs="Segoe UI"/>
          <w:color w:val="24292E"/>
          <w:shd w:val="clear" w:color="auto" w:fill="FFFFFF"/>
        </w:rPr>
        <w:t xml:space="preserve"> in addition to learning advanced geographic data visualization techniques that leverage Python, Javascript, and web APIs.</w:t>
      </w:r>
      <w:r w:rsidRPr="00FE10BE">
        <w:rPr>
          <w:rFonts w:cs="Segoe UI"/>
          <w:color w:val="24292E"/>
          <w:shd w:val="clear" w:color="auto" w:fill="FFFFFF"/>
        </w:rPr>
        <w:t xml:space="preserve"> They will also learn how to use the </w:t>
      </w:r>
      <w:hyperlink r:id="rId12" w:history="1">
        <w:r w:rsidRPr="00FE10BE">
          <w:rPr>
            <w:rStyle w:val="Hyperlink"/>
            <w:rFonts w:cs="Segoe UI"/>
            <w:color w:val="0366D6"/>
            <w:u w:val="none"/>
            <w:shd w:val="clear" w:color="auto" w:fill="FFFFFF"/>
          </w:rPr>
          <w:t>Javascript</w:t>
        </w:r>
      </w:hyperlink>
      <w:r w:rsidRPr="00FE10BE">
        <w:rPr>
          <w:rFonts w:cs="Segoe UI"/>
          <w:color w:val="24292E"/>
          <w:shd w:val="clear" w:color="auto" w:fill="FFFFFF"/>
        </w:rPr>
        <w:t> to create their first stand-alone web applications. This class builds on what students learned in </w:t>
      </w:r>
      <w:hyperlink r:id="rId13" w:history="1">
        <w:r w:rsidRPr="00FE10BE">
          <w:rPr>
            <w:rStyle w:val="Hyperlink"/>
            <w:rFonts w:cs="Segoe UI"/>
            <w:color w:val="0366D6"/>
            <w:u w:val="none"/>
            <w:shd w:val="clear" w:color="auto" w:fill="FFFFFF"/>
          </w:rPr>
          <w:t>GIS 4090</w:t>
        </w:r>
      </w:hyperlink>
      <w:r>
        <w:rPr>
          <w:rStyle w:val="Hyperlink"/>
          <w:rFonts w:cs="Segoe UI"/>
          <w:color w:val="0366D6"/>
          <w:u w:val="none"/>
          <w:shd w:val="clear" w:color="auto" w:fill="FFFFFF"/>
        </w:rPr>
        <w:t>\5090</w:t>
      </w:r>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EC38B2" w:rsidRDefault="005F2D5E" w:rsidP="00DF6FA1">
      <w:pPr>
        <w:rPr>
          <w:rFonts w:eastAsia="Times New Roman" w:cs="Times New Roman"/>
          <w:b/>
        </w:rPr>
      </w:pPr>
      <w:r w:rsidRPr="00EC38B2">
        <w:rPr>
          <w:rFonts w:eastAsia="Times New Roman" w:cs="Times New Roman"/>
          <w:b/>
        </w:rPr>
        <w:t>Learning</w:t>
      </w:r>
      <w:r w:rsidR="002672FB" w:rsidRPr="00EC38B2">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4090\5090.</w:t>
      </w:r>
    </w:p>
    <w:p w:rsidR="00C509E9" w:rsidRPr="00C509E9"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EC38B2" w:rsidP="00C509E9">
      <w:pPr>
        <w:numPr>
          <w:ilvl w:val="0"/>
          <w:numId w:val="15"/>
        </w:numPr>
        <w:spacing w:before="60" w:after="100" w:afterAutospacing="1"/>
        <w:rPr>
          <w:rFonts w:eastAsia="Times New Roman" w:cs="Segoe UI"/>
          <w:color w:val="24292E"/>
        </w:rPr>
      </w:pPr>
      <w:r>
        <w:rPr>
          <w:rFonts w:eastAsia="Times New Roman" w:cs="Segoe UI"/>
          <w:color w:val="24292E"/>
        </w:rPr>
        <w:t>B</w:t>
      </w:r>
      <w:r w:rsidR="00066CE8">
        <w:rPr>
          <w:rFonts w:eastAsia="Times New Roman" w:cs="Segoe UI"/>
          <w:color w:val="24292E"/>
        </w:rPr>
        <w:t>e able to explain</w:t>
      </w:r>
      <w:r w:rsidR="00C509E9" w:rsidRPr="00C509E9">
        <w:rPr>
          <w:rFonts w:eastAsia="Times New Roman" w:cs="Segoe UI"/>
          <w:color w:val="24292E"/>
        </w:rPr>
        <w:t xml:space="preserve"> modern data science methods and tools that can be used to augment their research in geography and remote sensing.</w:t>
      </w:r>
    </w:p>
    <w:p w:rsidR="004D369B" w:rsidRPr="004D369B" w:rsidRDefault="00066CE8" w:rsidP="004D369B">
      <w:pPr>
        <w:numPr>
          <w:ilvl w:val="0"/>
          <w:numId w:val="15"/>
        </w:numPr>
        <w:spacing w:before="60"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4D369B" w:rsidRPr="004D369B" w:rsidRDefault="004D369B" w:rsidP="004D369B">
      <w:pPr>
        <w:shd w:val="clear" w:color="auto" w:fill="FFFFFF"/>
        <w:spacing w:line="263" w:lineRule="atLeast"/>
        <w:rPr>
          <w:rFonts w:eastAsia="Times New Roman" w:cs="Helvetica"/>
          <w:b/>
          <w:lang w:eastAsia="zh-CN"/>
        </w:rPr>
      </w:pPr>
      <w:r w:rsidRPr="004D369B">
        <w:rPr>
          <w:rFonts w:eastAsia="Times New Roman" w:cs="Helvetica"/>
          <w:b/>
          <w:lang w:eastAsia="zh-CN"/>
        </w:rPr>
        <w:t>Learning Assessment:</w:t>
      </w:r>
    </w:p>
    <w:p w:rsidR="004D369B" w:rsidRPr="004D369B" w:rsidRDefault="004D369B" w:rsidP="004D369B">
      <w:pPr>
        <w:shd w:val="clear" w:color="auto" w:fill="FFFFFF"/>
        <w:spacing w:line="263" w:lineRule="atLeast"/>
        <w:rPr>
          <w:rFonts w:eastAsia="Times New Roman" w:cs="Helvetica"/>
          <w:lang w:eastAsia="zh-CN"/>
        </w:rPr>
      </w:pPr>
    </w:p>
    <w:p w:rsidR="00A9667B"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Learning objectives will be assessed through homework assignments and a series of projects, each of which will focus on a different aspect of programming and its applications to GIS and remote sensing. </w:t>
      </w:r>
    </w:p>
    <w:p w:rsidR="004D369B" w:rsidRPr="004D369B" w:rsidRDefault="004D369B" w:rsidP="004D369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web development, Javascript, and HTML will be assessed through a project where students will develop a web application that consumes or uses geographic web services (Proje</w:t>
      </w:r>
      <w:r>
        <w:rPr>
          <w:rFonts w:eastAsia="Times New Roman" w:cs="Helvetica"/>
          <w:lang w:eastAsia="zh-CN"/>
        </w:rPr>
        <w:t>ct 1</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Students understanding of working with geographic web services will be assessed by completing a project where they automate the creation and ana</w:t>
      </w:r>
      <w:r w:rsidR="004D369B">
        <w:rPr>
          <w:rFonts w:eastAsia="Times New Roman" w:cs="Helvetica"/>
          <w:lang w:eastAsia="zh-CN"/>
        </w:rPr>
        <w:t>lysis of web services (Project 2</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advanced analytical techniques and data science techniques will be assessed by a project where student will leverage techniques to perform spatial s</w:t>
      </w:r>
      <w:r w:rsidR="004D369B">
        <w:rPr>
          <w:rFonts w:eastAsia="Times New Roman" w:cs="Helvetica"/>
          <w:lang w:eastAsia="zh-CN"/>
        </w:rPr>
        <w:t>tatistics or analysis (Project 3</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how geographic web services, advanced analytical techniques, and web develop</w:t>
      </w:r>
      <w:r w:rsidR="004D369B">
        <w:rPr>
          <w:rFonts w:eastAsia="Times New Roman" w:cs="Helvetica"/>
          <w:lang w:eastAsia="zh-CN"/>
        </w:rPr>
        <w:t>ment will be assessed through a</w:t>
      </w:r>
      <w:r w:rsidRPr="00ED46D2">
        <w:rPr>
          <w:rFonts w:eastAsia="Times New Roman" w:cs="Helvetica"/>
          <w:lang w:eastAsia="zh-CN"/>
        </w:rPr>
        <w:t xml:space="preserve"> </w:t>
      </w:r>
      <w:r>
        <w:rPr>
          <w:rFonts w:eastAsia="Times New Roman" w:cs="Helvetica"/>
          <w:lang w:eastAsia="zh-CN"/>
        </w:rPr>
        <w:t>student</w:t>
      </w:r>
      <w:r w:rsidRPr="00ED46D2">
        <w:rPr>
          <w:rFonts w:eastAsia="Times New Roman" w:cs="Helvetica"/>
          <w:lang w:eastAsia="zh-CN"/>
        </w:rPr>
        <w:t xml:space="preserve"> defined Final Project</w:t>
      </w:r>
      <w:r>
        <w:rPr>
          <w:rFonts w:eastAsia="Times New Roman" w:cs="Helvetica"/>
          <w:lang w:eastAsia="zh-CN"/>
        </w:rPr>
        <w:t xml:space="preserve"> that will be presented to the class.</w:t>
      </w:r>
    </w:p>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E72019" w:rsidP="00C933BE">
      <w:pPr>
        <w:shd w:val="clear" w:color="auto" w:fill="FFFFFF"/>
        <w:spacing w:after="100" w:afterAutospacing="1"/>
        <w:outlineLvl w:val="0"/>
        <w:rPr>
          <w:rStyle w:val="a-size-base"/>
          <w:rFonts w:cs="Arial"/>
          <w:color w:val="111111"/>
          <w:shd w:val="clear" w:color="auto" w:fill="FFFFFF"/>
        </w:rPr>
      </w:pPr>
      <w:hyperlink r:id="rId14" w:history="1">
        <w:r w:rsidR="00C933BE" w:rsidRPr="00C933BE">
          <w:rPr>
            <w:rStyle w:val="Hyperlink"/>
            <w:rFonts w:eastAsia="Times New Roman" w:cs="Arial"/>
            <w:kern w:val="36"/>
          </w:rPr>
          <w:t>Jake VanderPlas.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E72019" w:rsidP="00C933BE">
      <w:pPr>
        <w:shd w:val="clear" w:color="auto" w:fill="FFFFFF"/>
        <w:spacing w:after="100" w:afterAutospacing="1"/>
        <w:outlineLvl w:val="0"/>
        <w:rPr>
          <w:rFonts w:eastAsia="Times New Roman" w:cs="Arial"/>
          <w:bCs/>
          <w:color w:val="111111"/>
          <w:kern w:val="36"/>
        </w:rPr>
      </w:pPr>
      <w:hyperlink r:id="rId15" w:history="1">
        <w:r w:rsidR="00260628" w:rsidRPr="00260628">
          <w:rPr>
            <w:rStyle w:val="Hyperlink"/>
            <w:rFonts w:cs="Arial"/>
            <w:shd w:val="clear" w:color="auto" w:fill="FFFFFF"/>
          </w:rPr>
          <w:t>Rene Rubalcava. ArcGIS Web Development.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260628" w:rsidRPr="00260628">
        <w:rPr>
          <w:rStyle w:val="a-size-base"/>
          <w:rFonts w:cs="Arial"/>
          <w:color w:val="111111"/>
          <w:shd w:val="clear" w:color="auto" w:fill="FFFFFF"/>
        </w:rPr>
        <w:t>978-1617291616.</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$24.61. </w:t>
      </w:r>
    </w:p>
    <w:p w:rsidR="00CF3668" w:rsidRPr="004D369B" w:rsidRDefault="004D369B">
      <w:pPr>
        <w:rPr>
          <w:b/>
        </w:rPr>
      </w:pPr>
      <w:r w:rsidRPr="004D369B">
        <w:rPr>
          <w:b/>
        </w:rPr>
        <w:t>Optional Text(s):</w:t>
      </w:r>
    </w:p>
    <w:p w:rsidR="004D369B" w:rsidRPr="00CC28A6" w:rsidRDefault="004D369B">
      <w:hyperlink r:id="rId16" w:history="1">
        <w:r w:rsidRPr="004D369B">
          <w:rPr>
            <w:rStyle w:val="Hyperlink"/>
          </w:rPr>
          <w:t>Mastering Geospatial Analysis with Python</w:t>
        </w:r>
      </w:hyperlink>
      <w:r>
        <w:t>. Crickard et al. 2018. (optional) $29.99.</w:t>
      </w:r>
    </w:p>
    <w:p w:rsidR="00CF3668" w:rsidRPr="00CC28A6" w:rsidRDefault="00CF3668"/>
    <w:p w:rsidR="002672FB" w:rsidRPr="00CC28A6" w:rsidRDefault="002672FB" w:rsidP="002672FB">
      <w:pPr>
        <w:rPr>
          <w:b/>
        </w:rPr>
      </w:pPr>
      <w:r w:rsidRPr="00CC28A6">
        <w:rPr>
          <w:b/>
        </w:rPr>
        <w:t>Assessment &amp; Grading:</w:t>
      </w:r>
    </w:p>
    <w:p w:rsidR="003459C7" w:rsidRDefault="004D369B" w:rsidP="004D369B">
      <w:pPr>
        <w:numPr>
          <w:ilvl w:val="0"/>
          <w:numId w:val="16"/>
        </w:numPr>
        <w:spacing w:before="100" w:beforeAutospacing="1" w:after="100" w:afterAutospacing="1"/>
      </w:pPr>
      <w:r>
        <w:t>20% - Weekly Assignments</w:t>
      </w:r>
    </w:p>
    <w:p w:rsidR="00260628" w:rsidRDefault="004D369B" w:rsidP="003459C7">
      <w:pPr>
        <w:numPr>
          <w:ilvl w:val="0"/>
          <w:numId w:val="16"/>
        </w:numPr>
        <w:spacing w:before="100" w:beforeAutospacing="1" w:after="100" w:afterAutospacing="1"/>
      </w:pPr>
      <w:r>
        <w:t>20</w:t>
      </w:r>
      <w:r w:rsidR="00260628">
        <w:t xml:space="preserve">% - </w:t>
      </w:r>
      <w:r w:rsidR="002E4FE3">
        <w:t xml:space="preserve">Project 1: </w:t>
      </w:r>
      <w:r>
        <w:t>Web Application Project</w:t>
      </w:r>
    </w:p>
    <w:p w:rsidR="00260628" w:rsidRDefault="004D369B" w:rsidP="00F425DA">
      <w:pPr>
        <w:numPr>
          <w:ilvl w:val="0"/>
          <w:numId w:val="16"/>
        </w:numPr>
        <w:spacing w:before="100" w:beforeAutospacing="1" w:after="100" w:afterAutospacing="1"/>
      </w:pPr>
      <w:r>
        <w:t>20</w:t>
      </w:r>
      <w:r w:rsidR="00260628">
        <w:t xml:space="preserve">% - </w:t>
      </w:r>
      <w:r w:rsidR="002E4FE3">
        <w:t xml:space="preserve">Project 2: </w:t>
      </w:r>
      <w:r>
        <w:t xml:space="preserve"> ArcGIS Python API Project</w:t>
      </w:r>
    </w:p>
    <w:p w:rsidR="00260628" w:rsidRPr="00CC28A6" w:rsidRDefault="004D369B" w:rsidP="001B6AE4">
      <w:pPr>
        <w:numPr>
          <w:ilvl w:val="0"/>
          <w:numId w:val="16"/>
        </w:numPr>
        <w:spacing w:before="100" w:beforeAutospacing="1" w:after="100" w:afterAutospacing="1"/>
      </w:pPr>
      <w:r>
        <w:t>20</w:t>
      </w:r>
      <w:r w:rsidR="00260628">
        <w:t xml:space="preserve">% - </w:t>
      </w:r>
      <w:r w:rsidR="002E4FE3">
        <w:t xml:space="preserve">Project 3: </w:t>
      </w:r>
      <w:r>
        <w:t>Data Science Notebook Project</w:t>
      </w:r>
    </w:p>
    <w:p w:rsidR="002672FB" w:rsidRPr="00260628" w:rsidRDefault="004D369B" w:rsidP="00260628">
      <w:pPr>
        <w:numPr>
          <w:ilvl w:val="0"/>
          <w:numId w:val="16"/>
        </w:numPr>
        <w:spacing w:before="100" w:beforeAutospacing="1" w:after="100" w:afterAutospacing="1"/>
        <w:rPr>
          <w:lang w:val="pt-BR"/>
        </w:rPr>
      </w:pPr>
      <w:r>
        <w:rPr>
          <w:lang w:val="pt-BR"/>
        </w:rPr>
        <w:t>20</w:t>
      </w:r>
      <w:r w:rsidR="001B6AE4" w:rsidRPr="00CC28A6">
        <w:rPr>
          <w:lang w:val="pt-BR"/>
        </w:rPr>
        <w:t>%</w:t>
      </w:r>
      <w:r w:rsidR="004456F5">
        <w:rPr>
          <w:lang w:val="pt-BR"/>
        </w:rPr>
        <w:t xml:space="preserve"> -</w:t>
      </w:r>
      <w:r w:rsidR="001B6AE4" w:rsidRPr="00CC28A6">
        <w:rPr>
          <w:lang w:val="pt-BR"/>
        </w:rPr>
        <w:t xml:space="preserve"> </w:t>
      </w:r>
      <w:r>
        <w:rPr>
          <w:lang w:val="pt-BR"/>
        </w:rPr>
        <w:t>Project 4: Student Defined Final Project</w:t>
      </w:r>
    </w:p>
    <w:p w:rsidR="007A1AC4" w:rsidRPr="00EC38B2" w:rsidRDefault="004C4984" w:rsidP="004C4984">
      <w:pPr>
        <w:rPr>
          <w:b/>
        </w:rPr>
      </w:pPr>
      <w:r w:rsidRPr="00EC38B2">
        <w:rPr>
          <w:b/>
        </w:rPr>
        <w:t>Differences in course requirements by level:</w:t>
      </w:r>
    </w:p>
    <w:p w:rsidR="004C4984" w:rsidRPr="00EC38B2" w:rsidRDefault="004C4984" w:rsidP="004C4984">
      <w:pPr>
        <w:rPr>
          <w:rFonts w:cs="Segoe UI"/>
          <w:shd w:val="clear" w:color="auto" w:fill="FFFFFF"/>
        </w:rPr>
      </w:pPr>
      <w:r w:rsidRPr="00EC38B2">
        <w:rPr>
          <w:rFonts w:cs="Segoe UI"/>
          <w:shd w:val="clear" w:color="auto" w:fill="FFFFFF"/>
        </w:rPr>
        <w:t>It is dual numbered with 4091 to allow undergraduate students enroll in the program take the class. Extra work is required for graduate students: (1) graduate students are required to do a final project and submit an extended project abstract; (2) make an oral presentation on their final projects; (3) lead discussions.</w:t>
      </w:r>
    </w:p>
    <w:p w:rsidR="004C4984" w:rsidRPr="00CC28A6" w:rsidRDefault="004C498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7"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basic fact of your experience with her. The Title IX coordinator will then be available to assist you in understanding all of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8" w:history="1">
        <w:r w:rsidRPr="00B5698A">
          <w:rPr>
            <w:rStyle w:val="Hyperlink"/>
            <w:rFonts w:cstheme="minorHAnsi"/>
            <w:bCs/>
            <w:kern w:val="36"/>
          </w:rPr>
          <w:t>http://www.slu.edu/general-counsel-home/office-of-institutional-equity-and-diversity/sexual-misconduct-policy</w:t>
        </w:r>
      </w:hyperlink>
    </w:p>
    <w:p w:rsidR="006D5A9C" w:rsidRPr="00B5698A" w:rsidRDefault="00E72019" w:rsidP="006D5A9C">
      <w:pPr>
        <w:shd w:val="clear" w:color="auto" w:fill="FFFFFF"/>
        <w:outlineLvl w:val="0"/>
        <w:rPr>
          <w:rFonts w:cstheme="minorHAnsi"/>
          <w:bCs/>
          <w:kern w:val="36"/>
        </w:rPr>
      </w:pPr>
      <w:hyperlink r:id="rId19"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t>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is located in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the majority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r w:rsidR="00D73119" w:rsidRPr="00CC28A6">
        <w:rPr>
          <w:rFonts w:cstheme="minorHAnsi"/>
          <w:color w:val="000000"/>
        </w:rPr>
        <w:t>phone call</w:t>
      </w:r>
      <w:bookmarkStart w:id="0" w:name="_GoBack"/>
      <w:bookmarkEnd w:id="0"/>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Default="006C700B" w:rsidP="008C7DB3">
      <w:pPr>
        <w:rPr>
          <w:b/>
        </w:rPr>
      </w:pPr>
      <w:r w:rsidRPr="006C700B">
        <w:rPr>
          <w:b/>
        </w:rPr>
        <w:t>Course Schedule</w:t>
      </w:r>
    </w:p>
    <w:p w:rsidR="008C7DB3" w:rsidRPr="006C700B" w:rsidRDefault="008C7DB3" w:rsidP="008C7DB3">
      <w:pPr>
        <w:rPr>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BC04A8">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BC04A8">
        <w:trPr>
          <w:cantSplit/>
          <w:trHeight w:val="287"/>
        </w:trPr>
        <w:tc>
          <w:tcPr>
            <w:tcW w:w="10260" w:type="dxa"/>
            <w:gridSpan w:val="3"/>
            <w:shd w:val="pct20" w:color="auto" w:fill="FFFFFF"/>
          </w:tcPr>
          <w:p w:rsidR="006C700B" w:rsidRPr="00647C30" w:rsidRDefault="006416A3" w:rsidP="006416A3">
            <w:pPr>
              <w:jc w:val="center"/>
            </w:pPr>
            <w:r>
              <w:t>Web Mapping with Leaflet and Github</w:t>
            </w:r>
          </w:p>
        </w:tc>
      </w:tr>
      <w:tr w:rsidR="006C700B" w:rsidRPr="006C700B" w:rsidTr="00BC04A8">
        <w:trPr>
          <w:cantSplit/>
        </w:trPr>
        <w:tc>
          <w:tcPr>
            <w:tcW w:w="720" w:type="dxa"/>
            <w:tcBorders>
              <w:bottom w:val="single" w:sz="4" w:space="0" w:color="auto"/>
            </w:tcBorders>
          </w:tcPr>
          <w:p w:rsidR="006C700B" w:rsidRPr="00F30FBA" w:rsidRDefault="006416A3" w:rsidP="006C700B">
            <w:pPr>
              <w:rPr>
                <w:sz w:val="20"/>
                <w:szCs w:val="20"/>
              </w:rPr>
            </w:pPr>
            <w:r>
              <w:rPr>
                <w:sz w:val="20"/>
                <w:szCs w:val="20"/>
              </w:rPr>
              <w:t>1</w:t>
            </w:r>
          </w:p>
        </w:tc>
        <w:tc>
          <w:tcPr>
            <w:tcW w:w="810" w:type="dxa"/>
            <w:tcBorders>
              <w:bottom w:val="single" w:sz="4" w:space="0" w:color="auto"/>
            </w:tcBorders>
          </w:tcPr>
          <w:p w:rsidR="006C700B" w:rsidRPr="00F30FBA" w:rsidRDefault="006C700B" w:rsidP="001D2AB1">
            <w:pPr>
              <w:rPr>
                <w:sz w:val="20"/>
                <w:szCs w:val="20"/>
              </w:rPr>
            </w:pPr>
          </w:p>
        </w:tc>
        <w:tc>
          <w:tcPr>
            <w:tcW w:w="8730" w:type="dxa"/>
            <w:tcBorders>
              <w:bottom w:val="single" w:sz="4" w:space="0" w:color="auto"/>
            </w:tcBorders>
          </w:tcPr>
          <w:p w:rsidR="00A16CD4" w:rsidRDefault="008C7DB3" w:rsidP="00647C30">
            <w:pPr>
              <w:tabs>
                <w:tab w:val="left" w:pos="2205"/>
              </w:tabs>
              <w:rPr>
                <w:sz w:val="21"/>
                <w:szCs w:val="21"/>
              </w:rPr>
            </w:pPr>
            <w:r>
              <w:rPr>
                <w:sz w:val="21"/>
                <w:szCs w:val="21"/>
              </w:rPr>
              <w:t>Learning Leaflet. Creating your first Javascript and HTML based mapping application.</w:t>
            </w:r>
          </w:p>
          <w:p w:rsidR="008C7DB3" w:rsidRPr="00623F49" w:rsidRDefault="00623F49" w:rsidP="00647C30">
            <w:pPr>
              <w:tabs>
                <w:tab w:val="left" w:pos="2205"/>
              </w:tabs>
              <w:rPr>
                <w:b/>
                <w:sz w:val="21"/>
                <w:szCs w:val="21"/>
              </w:rPr>
            </w:pPr>
            <w:r w:rsidRPr="00623F49">
              <w:rPr>
                <w:b/>
                <w:sz w:val="21"/>
                <w:szCs w:val="21"/>
              </w:rPr>
              <w:t>Homework #1 Problems Assigned</w:t>
            </w:r>
          </w:p>
        </w:tc>
      </w:tr>
      <w:tr w:rsidR="006C700B" w:rsidRPr="006C700B" w:rsidTr="00BC04A8">
        <w:trPr>
          <w:cantSplit/>
          <w:trHeight w:val="70"/>
        </w:trPr>
        <w:tc>
          <w:tcPr>
            <w:tcW w:w="10260" w:type="dxa"/>
            <w:gridSpan w:val="3"/>
            <w:shd w:val="clear" w:color="auto" w:fill="C0C0C0"/>
          </w:tcPr>
          <w:p w:rsidR="006C700B" w:rsidRPr="00647C30" w:rsidRDefault="006416A3" w:rsidP="006416A3">
            <w:pPr>
              <w:jc w:val="center"/>
            </w:pPr>
            <w:r>
              <w:t>Creating GIS Application with the ArcGIS Javascript API</w:t>
            </w:r>
          </w:p>
        </w:tc>
      </w:tr>
      <w:tr w:rsidR="00647C30" w:rsidRPr="006C700B" w:rsidTr="00BC04A8">
        <w:trPr>
          <w:cantSplit/>
        </w:trPr>
        <w:tc>
          <w:tcPr>
            <w:tcW w:w="720" w:type="dxa"/>
          </w:tcPr>
          <w:p w:rsidR="00647C30" w:rsidRPr="00F30FBA" w:rsidRDefault="006416A3" w:rsidP="006C700B">
            <w:pPr>
              <w:rPr>
                <w:sz w:val="20"/>
                <w:szCs w:val="20"/>
              </w:rPr>
            </w:pPr>
            <w:r>
              <w:rPr>
                <w:sz w:val="20"/>
                <w:szCs w:val="20"/>
              </w:rPr>
              <w:t>2</w:t>
            </w:r>
          </w:p>
        </w:tc>
        <w:tc>
          <w:tcPr>
            <w:tcW w:w="810" w:type="dxa"/>
          </w:tcPr>
          <w:p w:rsidR="00647C30" w:rsidRPr="00F30FBA" w:rsidRDefault="00647C30" w:rsidP="001D2AB1">
            <w:pPr>
              <w:rPr>
                <w:sz w:val="20"/>
                <w:szCs w:val="20"/>
              </w:rPr>
            </w:pPr>
          </w:p>
        </w:tc>
        <w:tc>
          <w:tcPr>
            <w:tcW w:w="8730" w:type="dxa"/>
          </w:tcPr>
          <w:p w:rsidR="00A16CD4" w:rsidRDefault="00623F49" w:rsidP="00E314E7">
            <w:pPr>
              <w:rPr>
                <w:sz w:val="21"/>
                <w:szCs w:val="21"/>
              </w:rPr>
            </w:pPr>
            <w:r>
              <w:rPr>
                <w:sz w:val="21"/>
                <w:szCs w:val="21"/>
              </w:rPr>
              <w:t>Learning the ArcGIS Javascript API</w:t>
            </w:r>
          </w:p>
          <w:p w:rsidR="00623F49" w:rsidRDefault="00623F49" w:rsidP="00E314E7">
            <w:pPr>
              <w:rPr>
                <w:b/>
                <w:sz w:val="21"/>
                <w:szCs w:val="21"/>
              </w:rPr>
            </w:pPr>
            <w:r>
              <w:rPr>
                <w:b/>
                <w:sz w:val="21"/>
                <w:szCs w:val="21"/>
              </w:rPr>
              <w:t>Homework #2</w:t>
            </w:r>
            <w:r w:rsidRPr="00623F49">
              <w:rPr>
                <w:b/>
                <w:sz w:val="21"/>
                <w:szCs w:val="21"/>
              </w:rPr>
              <w:t xml:space="preserve"> Problems Assigned</w:t>
            </w:r>
          </w:p>
          <w:p w:rsidR="00623F49" w:rsidRPr="00623F49" w:rsidRDefault="00623F49" w:rsidP="00E314E7">
            <w:pPr>
              <w:rPr>
                <w:sz w:val="21"/>
                <w:szCs w:val="21"/>
              </w:rPr>
            </w:pPr>
            <w:r>
              <w:rPr>
                <w:b/>
                <w:sz w:val="21"/>
                <w:szCs w:val="21"/>
              </w:rPr>
              <w:t>Project</w:t>
            </w:r>
            <w:r w:rsidRPr="00623F49">
              <w:rPr>
                <w:b/>
                <w:sz w:val="21"/>
                <w:szCs w:val="21"/>
              </w:rPr>
              <w:t xml:space="preserve"> #1 Assigned</w:t>
            </w:r>
          </w:p>
        </w:tc>
      </w:tr>
      <w:tr w:rsidR="00647C30" w:rsidRPr="006C700B" w:rsidTr="00BC04A8">
        <w:trPr>
          <w:cantSplit/>
        </w:trPr>
        <w:tc>
          <w:tcPr>
            <w:tcW w:w="10260" w:type="dxa"/>
            <w:gridSpan w:val="3"/>
            <w:shd w:val="pct20" w:color="auto" w:fill="FFFFFF"/>
          </w:tcPr>
          <w:p w:rsidR="00647C30" w:rsidRPr="00647C30" w:rsidRDefault="006416A3" w:rsidP="006416A3">
            <w:pPr>
              <w:jc w:val="center"/>
            </w:pPr>
            <w:r>
              <w:t>GIS Web Applications and 3D Scenes</w:t>
            </w:r>
          </w:p>
        </w:tc>
      </w:tr>
      <w:tr w:rsidR="00647C30" w:rsidRPr="006C700B" w:rsidTr="00BC04A8">
        <w:trPr>
          <w:cantSplit/>
        </w:trPr>
        <w:tc>
          <w:tcPr>
            <w:tcW w:w="720" w:type="dxa"/>
          </w:tcPr>
          <w:p w:rsidR="00647C30" w:rsidRPr="00F30FBA" w:rsidRDefault="006416A3" w:rsidP="006C700B">
            <w:pPr>
              <w:rPr>
                <w:sz w:val="20"/>
                <w:szCs w:val="20"/>
              </w:rPr>
            </w:pPr>
            <w:r>
              <w:rPr>
                <w:sz w:val="20"/>
                <w:szCs w:val="20"/>
              </w:rPr>
              <w:t>3</w:t>
            </w:r>
          </w:p>
        </w:tc>
        <w:tc>
          <w:tcPr>
            <w:tcW w:w="810" w:type="dxa"/>
          </w:tcPr>
          <w:p w:rsidR="00647C30" w:rsidRPr="00F30FBA" w:rsidRDefault="00647C30" w:rsidP="001D2AB1">
            <w:pPr>
              <w:rPr>
                <w:sz w:val="20"/>
                <w:szCs w:val="20"/>
              </w:rPr>
            </w:pPr>
          </w:p>
        </w:tc>
        <w:tc>
          <w:tcPr>
            <w:tcW w:w="8730" w:type="dxa"/>
          </w:tcPr>
          <w:p w:rsidR="00A16CD4" w:rsidRDefault="00623F49" w:rsidP="00FC35D1">
            <w:pPr>
              <w:rPr>
                <w:sz w:val="21"/>
                <w:szCs w:val="21"/>
              </w:rPr>
            </w:pPr>
            <w:r>
              <w:rPr>
                <w:sz w:val="21"/>
                <w:szCs w:val="21"/>
              </w:rPr>
              <w:t>Working with web maps and 3D scenes.</w:t>
            </w:r>
          </w:p>
          <w:p w:rsidR="00623F49" w:rsidRPr="00FC35D1" w:rsidRDefault="00623F49" w:rsidP="00FC35D1">
            <w:pPr>
              <w:rPr>
                <w:sz w:val="21"/>
                <w:szCs w:val="21"/>
              </w:rPr>
            </w:pPr>
            <w:r>
              <w:rPr>
                <w:b/>
                <w:sz w:val="21"/>
                <w:szCs w:val="21"/>
              </w:rPr>
              <w:t>Homework #3</w:t>
            </w:r>
            <w:r w:rsidRPr="00623F49">
              <w:rPr>
                <w:b/>
                <w:sz w:val="21"/>
                <w:szCs w:val="21"/>
              </w:rPr>
              <w:t xml:space="preserve"> Problems Assigned</w:t>
            </w:r>
          </w:p>
        </w:tc>
      </w:tr>
      <w:tr w:rsidR="00647C30"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6416A3" w:rsidRDefault="006416A3" w:rsidP="006416A3">
            <w:pPr>
              <w:jc w:val="center"/>
              <w:rPr>
                <w:bCs/>
              </w:rPr>
            </w:pPr>
            <w:r w:rsidRPr="006416A3">
              <w:rPr>
                <w:bCs/>
              </w:rPr>
              <w:t>Popups and Widgets</w:t>
            </w:r>
          </w:p>
        </w:tc>
      </w:tr>
      <w:tr w:rsidR="00647C30"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16A3" w:rsidP="006C700B">
            <w:pPr>
              <w:rPr>
                <w:sz w:val="20"/>
                <w:szCs w:val="20"/>
              </w:rPr>
            </w:pPr>
            <w:r>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right w:val="single" w:sz="4" w:space="0" w:color="auto"/>
            </w:tcBorders>
          </w:tcPr>
          <w:p w:rsidR="00623F49" w:rsidRPr="00623F49" w:rsidRDefault="00623F49" w:rsidP="003459C7">
            <w:pPr>
              <w:rPr>
                <w:sz w:val="21"/>
                <w:szCs w:val="21"/>
              </w:rPr>
            </w:pPr>
            <w:r w:rsidRPr="00623F49">
              <w:rPr>
                <w:sz w:val="21"/>
                <w:szCs w:val="21"/>
              </w:rPr>
              <w:t>Creating Popups and working with Widgets</w:t>
            </w:r>
          </w:p>
          <w:p w:rsidR="00AE61AE" w:rsidRPr="003459C7" w:rsidRDefault="00623F49" w:rsidP="003459C7">
            <w:pPr>
              <w:rPr>
                <w:sz w:val="21"/>
                <w:szCs w:val="21"/>
              </w:rPr>
            </w:pPr>
            <w:r>
              <w:rPr>
                <w:b/>
                <w:sz w:val="21"/>
                <w:szCs w:val="21"/>
              </w:rPr>
              <w:t>Homework #4</w:t>
            </w:r>
            <w:r w:rsidRPr="00623F49">
              <w:rPr>
                <w:b/>
                <w:sz w:val="21"/>
                <w:szCs w:val="21"/>
              </w:rPr>
              <w:t xml:space="preserve"> Problems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16A3" w:rsidRPr="00647C30" w:rsidRDefault="006416A3" w:rsidP="006416A3">
            <w:pPr>
              <w:jc w:val="center"/>
            </w:pPr>
            <w:r>
              <w:t xml:space="preserve">ArcGIS Pro, Jupyter Notebooks, </w:t>
            </w:r>
            <w:r>
              <w:t xml:space="preserve">and </w:t>
            </w:r>
            <w:r>
              <w:t xml:space="preserve">Python </w:t>
            </w:r>
            <w:r>
              <w:t>3</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23F49" w:rsidRDefault="00623F49" w:rsidP="006416A3">
            <w:pPr>
              <w:rPr>
                <w:b/>
                <w:sz w:val="21"/>
                <w:szCs w:val="21"/>
              </w:rPr>
            </w:pPr>
            <w:r>
              <w:rPr>
                <w:b/>
                <w:sz w:val="21"/>
                <w:szCs w:val="21"/>
              </w:rPr>
              <w:t>Project</w:t>
            </w:r>
            <w:r w:rsidRPr="00623F49">
              <w:rPr>
                <w:b/>
                <w:sz w:val="21"/>
                <w:szCs w:val="21"/>
              </w:rPr>
              <w:t xml:space="preserve"> #1 </w:t>
            </w:r>
            <w:r>
              <w:rPr>
                <w:b/>
                <w:sz w:val="21"/>
                <w:szCs w:val="21"/>
              </w:rPr>
              <w:t>Due</w:t>
            </w:r>
          </w:p>
          <w:p w:rsidR="006416A3" w:rsidRDefault="006416A3" w:rsidP="006416A3">
            <w:pPr>
              <w:rPr>
                <w:sz w:val="21"/>
                <w:szCs w:val="21"/>
              </w:rPr>
            </w:pPr>
            <w:r w:rsidRPr="00F244A1">
              <w:rPr>
                <w:b/>
                <w:sz w:val="21"/>
                <w:szCs w:val="21"/>
              </w:rPr>
              <w:t>Ch</w:t>
            </w:r>
            <w:r>
              <w:rPr>
                <w:b/>
                <w:sz w:val="21"/>
                <w:szCs w:val="21"/>
              </w:rPr>
              <w:t xml:space="preserve">apter </w:t>
            </w:r>
            <w:r w:rsidRPr="00F244A1">
              <w:rPr>
                <w:b/>
                <w:sz w:val="21"/>
                <w:szCs w:val="21"/>
              </w:rPr>
              <w:t>1</w:t>
            </w:r>
            <w:r>
              <w:rPr>
                <w:b/>
                <w:sz w:val="21"/>
                <w:szCs w:val="21"/>
              </w:rPr>
              <w:t xml:space="preserve"> of VanderPlas.</w:t>
            </w:r>
            <w:r w:rsidRPr="00F244A1">
              <w:rPr>
                <w:sz w:val="21"/>
                <w:szCs w:val="21"/>
              </w:rPr>
              <w:t xml:space="preserve"> </w:t>
            </w:r>
            <w:r>
              <w:rPr>
                <w:sz w:val="21"/>
                <w:szCs w:val="21"/>
              </w:rPr>
              <w:t>Beyond Normal Python</w:t>
            </w:r>
          </w:p>
          <w:p w:rsidR="00623F49" w:rsidRPr="00623F49" w:rsidRDefault="00623F49" w:rsidP="006416A3">
            <w:pPr>
              <w:rPr>
                <w:b/>
                <w:sz w:val="21"/>
                <w:szCs w:val="21"/>
              </w:rPr>
            </w:pPr>
            <w:r w:rsidRPr="00623F49">
              <w:rPr>
                <w:b/>
                <w:sz w:val="21"/>
                <w:szCs w:val="21"/>
              </w:rPr>
              <w:t>Chapter 1 of Mastering Geospatial Analysis with Python</w:t>
            </w:r>
          </w:p>
          <w:p w:rsidR="006416A3" w:rsidRDefault="006416A3" w:rsidP="006416A3">
            <w:pPr>
              <w:tabs>
                <w:tab w:val="left" w:pos="2205"/>
              </w:tabs>
              <w:rPr>
                <w:i/>
                <w:sz w:val="21"/>
                <w:szCs w:val="21"/>
              </w:rPr>
            </w:pPr>
            <w:r>
              <w:rPr>
                <w:b/>
                <w:sz w:val="21"/>
                <w:szCs w:val="21"/>
              </w:rPr>
              <w:t>Homework</w:t>
            </w:r>
            <w:r w:rsidR="00623F49">
              <w:rPr>
                <w:b/>
                <w:sz w:val="21"/>
                <w:szCs w:val="21"/>
              </w:rPr>
              <w:t xml:space="preserve"> #5 Assigned</w:t>
            </w:r>
          </w:p>
          <w:p w:rsidR="006416A3" w:rsidRPr="00173462" w:rsidRDefault="00623F49" w:rsidP="006416A3">
            <w:pPr>
              <w:tabs>
                <w:tab w:val="left" w:pos="2205"/>
              </w:tabs>
              <w:rPr>
                <w:i/>
                <w:sz w:val="21"/>
                <w:szCs w:val="21"/>
              </w:rPr>
            </w:pPr>
            <w:r>
              <w:rPr>
                <w:b/>
                <w:sz w:val="21"/>
                <w:szCs w:val="21"/>
              </w:rPr>
              <w:t xml:space="preserve">Project #2 </w:t>
            </w:r>
            <w:r w:rsidRPr="00623F49">
              <w:rPr>
                <w:b/>
                <w:sz w:val="21"/>
                <w:szCs w:val="21"/>
              </w:rPr>
              <w:t>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647C30" w:rsidRDefault="006416A3" w:rsidP="006416A3">
            <w:pPr>
              <w:jc w:val="center"/>
            </w:pPr>
            <w:r>
              <w:t>Github and Administering Your Organization</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sz w:val="21"/>
                <w:szCs w:val="21"/>
              </w:rPr>
            </w:pPr>
            <w:r>
              <w:rPr>
                <w:b/>
                <w:sz w:val="21"/>
                <w:szCs w:val="21"/>
              </w:rPr>
              <w:t>Sample Notebooks</w:t>
            </w:r>
            <w:r w:rsidRPr="00F244A1">
              <w:rPr>
                <w:b/>
                <w:sz w:val="21"/>
                <w:szCs w:val="21"/>
              </w:rPr>
              <w:t>:</w:t>
            </w:r>
            <w:r w:rsidRPr="00F244A1">
              <w:rPr>
                <w:sz w:val="21"/>
                <w:szCs w:val="21"/>
              </w:rPr>
              <w:t xml:space="preserve"> </w:t>
            </w:r>
            <w:hyperlink r:id="rId20" w:history="1">
              <w:r w:rsidRPr="00FC35D1">
                <w:rPr>
                  <w:rStyle w:val="Hyperlink"/>
                  <w:sz w:val="21"/>
                  <w:szCs w:val="21"/>
                </w:rPr>
                <w:t>Maps in Python!</w:t>
              </w:r>
            </w:hyperlink>
          </w:p>
          <w:p w:rsidR="006416A3" w:rsidRPr="00623F49" w:rsidRDefault="00623F49" w:rsidP="006416A3">
            <w:pPr>
              <w:rPr>
                <w:sz w:val="21"/>
                <w:szCs w:val="21"/>
              </w:rPr>
            </w:pPr>
            <w:r w:rsidRPr="00623F49">
              <w:rPr>
                <w:sz w:val="21"/>
                <w:szCs w:val="21"/>
              </w:rPr>
              <w:t>Managing ArcGIS Online with Python</w:t>
            </w:r>
          </w:p>
          <w:p w:rsidR="006416A3" w:rsidRPr="00E314E7" w:rsidRDefault="00623F49" w:rsidP="00623F49">
            <w:pPr>
              <w:tabs>
                <w:tab w:val="left" w:pos="2205"/>
              </w:tabs>
              <w:rPr>
                <w:i/>
                <w:sz w:val="21"/>
                <w:szCs w:val="21"/>
              </w:rPr>
            </w:pPr>
            <w:r>
              <w:rPr>
                <w:b/>
                <w:sz w:val="21"/>
                <w:szCs w:val="21"/>
              </w:rPr>
              <w:t>Homework</w:t>
            </w:r>
            <w:r>
              <w:rPr>
                <w:b/>
                <w:sz w:val="21"/>
                <w:szCs w:val="21"/>
              </w:rPr>
              <w:t xml:space="preserve"> #6</w:t>
            </w:r>
            <w:r>
              <w:rPr>
                <w:b/>
                <w:sz w:val="21"/>
                <w:szCs w:val="21"/>
              </w:rPr>
              <w:t xml:space="preserve">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647C30" w:rsidRDefault="006416A3" w:rsidP="006416A3">
            <w:pPr>
              <w:pStyle w:val="ListParagraph"/>
              <w:jc w:val="center"/>
            </w:pPr>
            <w:r>
              <w:t>Publishing and Analyzing Web Services with Python</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b/>
                <w:sz w:val="21"/>
                <w:szCs w:val="21"/>
              </w:rPr>
            </w:pPr>
            <w:r>
              <w:rPr>
                <w:b/>
                <w:sz w:val="21"/>
                <w:szCs w:val="21"/>
              </w:rPr>
              <w:t>GIS Analyst Notebooks and Content Publishers Notebooks</w:t>
            </w:r>
          </w:p>
          <w:p w:rsidR="006416A3" w:rsidRPr="00FC35D1" w:rsidRDefault="00623F49" w:rsidP="006416A3">
            <w:pPr>
              <w:rPr>
                <w:sz w:val="21"/>
                <w:szCs w:val="21"/>
              </w:rPr>
            </w:pPr>
            <w:r>
              <w:rPr>
                <w:b/>
                <w:sz w:val="21"/>
                <w:szCs w:val="21"/>
              </w:rPr>
              <w:t>Homework #7</w:t>
            </w:r>
            <w:r w:rsidR="006416A3">
              <w:rPr>
                <w:b/>
                <w:sz w:val="21"/>
                <w:szCs w:val="21"/>
              </w:rPr>
              <w:t xml:space="preserve"> Assigned</w:t>
            </w:r>
            <w:r w:rsidR="006416A3">
              <w:rPr>
                <w:sz w:val="21"/>
                <w:szCs w:val="21"/>
              </w:rPr>
              <w:t xml:space="preserve"> </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F30FBA" w:rsidRDefault="006416A3" w:rsidP="00623F49">
            <w:pPr>
              <w:pStyle w:val="ListParagraph"/>
              <w:jc w:val="center"/>
              <w:rPr>
                <w:bCs/>
                <w:sz w:val="20"/>
                <w:szCs w:val="20"/>
              </w:rPr>
            </w:pPr>
            <w:r>
              <w:t>Python for Spatial Data Science</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8</w:t>
            </w:r>
          </w:p>
        </w:tc>
        <w:tc>
          <w:tcPr>
            <w:tcW w:w="810" w:type="dxa"/>
            <w:tcBorders>
              <w:top w:val="single" w:sz="4" w:space="0" w:color="auto"/>
              <w:left w:val="single" w:sz="4" w:space="0" w:color="auto"/>
              <w:bottom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23F49" w:rsidRDefault="00623F49" w:rsidP="006416A3">
            <w:pPr>
              <w:rPr>
                <w:b/>
                <w:sz w:val="21"/>
                <w:szCs w:val="21"/>
              </w:rPr>
            </w:pPr>
            <w:r>
              <w:rPr>
                <w:b/>
                <w:sz w:val="21"/>
                <w:szCs w:val="21"/>
              </w:rPr>
              <w:t>Project #2</w:t>
            </w:r>
            <w:r>
              <w:rPr>
                <w:b/>
                <w:sz w:val="21"/>
                <w:szCs w:val="21"/>
              </w:rPr>
              <w:t xml:space="preserve"> </w:t>
            </w:r>
            <w:r>
              <w:rPr>
                <w:b/>
                <w:sz w:val="21"/>
                <w:szCs w:val="21"/>
              </w:rPr>
              <w:t>Due</w:t>
            </w:r>
          </w:p>
          <w:p w:rsidR="006416A3" w:rsidRDefault="00623F49" w:rsidP="006416A3">
            <w:pPr>
              <w:rPr>
                <w:b/>
                <w:sz w:val="21"/>
                <w:szCs w:val="21"/>
              </w:rPr>
            </w:pPr>
            <w:r>
              <w:rPr>
                <w:b/>
                <w:sz w:val="21"/>
                <w:szCs w:val="21"/>
              </w:rPr>
              <w:t xml:space="preserve">Spatial </w:t>
            </w:r>
            <w:r w:rsidR="006416A3">
              <w:rPr>
                <w:b/>
                <w:sz w:val="21"/>
                <w:szCs w:val="21"/>
              </w:rPr>
              <w:t xml:space="preserve">Data Science </w:t>
            </w:r>
            <w:r>
              <w:rPr>
                <w:b/>
                <w:sz w:val="21"/>
                <w:szCs w:val="21"/>
              </w:rPr>
              <w:t>with Python</w:t>
            </w:r>
          </w:p>
          <w:p w:rsidR="006416A3" w:rsidRDefault="00D73119" w:rsidP="006416A3">
            <w:pPr>
              <w:rPr>
                <w:b/>
                <w:sz w:val="21"/>
                <w:szCs w:val="21"/>
              </w:rPr>
            </w:pPr>
            <w:r>
              <w:rPr>
                <w:b/>
                <w:sz w:val="21"/>
                <w:szCs w:val="21"/>
              </w:rPr>
              <w:t>Homework #8</w:t>
            </w:r>
            <w:r w:rsidR="00623F49">
              <w:rPr>
                <w:b/>
                <w:sz w:val="21"/>
                <w:szCs w:val="21"/>
              </w:rPr>
              <w:t xml:space="preserve"> Assigned</w:t>
            </w:r>
          </w:p>
          <w:p w:rsidR="00623F49" w:rsidRPr="003459C7" w:rsidRDefault="00623F49" w:rsidP="006416A3">
            <w:pPr>
              <w:rPr>
                <w:sz w:val="21"/>
                <w:szCs w:val="21"/>
              </w:rPr>
            </w:pPr>
            <w:r>
              <w:rPr>
                <w:b/>
                <w:sz w:val="21"/>
                <w:szCs w:val="21"/>
              </w:rPr>
              <w:t>Project #3</w:t>
            </w:r>
            <w:r>
              <w:rPr>
                <w:b/>
                <w:sz w:val="21"/>
                <w:szCs w:val="21"/>
              </w:rPr>
              <w:t xml:space="preserve">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F30FBA" w:rsidRDefault="006416A3" w:rsidP="00180F7E">
            <w:pPr>
              <w:pStyle w:val="ListParagraph"/>
              <w:jc w:val="center"/>
              <w:rPr>
                <w:bCs/>
                <w:sz w:val="20"/>
                <w:szCs w:val="20"/>
              </w:rPr>
            </w:pPr>
            <w:r>
              <w:t>Intro to Pandas</w:t>
            </w:r>
            <w:r w:rsidR="00DB1161">
              <w:t xml:space="preserve"> and ArcGIS Spatial Dataframes</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b/>
                <w:bCs/>
                <w:sz w:val="20"/>
                <w:szCs w:val="20"/>
              </w:rPr>
            </w:pPr>
            <w:r w:rsidRPr="003A3C3E">
              <w:rPr>
                <w:b/>
                <w:bCs/>
                <w:sz w:val="20"/>
                <w:szCs w:val="20"/>
              </w:rPr>
              <w:t>Chapter 2 of VanderPlas</w:t>
            </w:r>
          </w:p>
          <w:p w:rsidR="006416A3" w:rsidRPr="003459C7" w:rsidRDefault="00D73119" w:rsidP="00623F49">
            <w:pPr>
              <w:tabs>
                <w:tab w:val="left" w:pos="2205"/>
              </w:tabs>
              <w:rPr>
                <w:b/>
                <w:sz w:val="21"/>
                <w:szCs w:val="21"/>
              </w:rPr>
            </w:pPr>
            <w:r>
              <w:rPr>
                <w:b/>
                <w:sz w:val="21"/>
                <w:szCs w:val="21"/>
              </w:rPr>
              <w:t>Homework #9</w:t>
            </w:r>
            <w:r w:rsidR="006416A3" w:rsidRPr="000C10A8">
              <w:rPr>
                <w:b/>
                <w:sz w:val="21"/>
                <w:szCs w:val="21"/>
              </w:rPr>
              <w:t xml:space="preserve">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F30FBA" w:rsidRDefault="006416A3" w:rsidP="00180F7E">
            <w:pPr>
              <w:pStyle w:val="ListParagraph"/>
              <w:jc w:val="center"/>
              <w:rPr>
                <w:sz w:val="20"/>
                <w:szCs w:val="20"/>
              </w:rPr>
            </w:pPr>
            <w:r>
              <w:t>Numpy and Rasters</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tabs>
                <w:tab w:val="left" w:pos="2205"/>
              </w:tabs>
              <w:rPr>
                <w:b/>
                <w:sz w:val="21"/>
                <w:szCs w:val="21"/>
              </w:rPr>
            </w:pPr>
            <w:r>
              <w:rPr>
                <w:b/>
                <w:sz w:val="21"/>
                <w:szCs w:val="21"/>
              </w:rPr>
              <w:t>Chapter 3 of VanderPlas</w:t>
            </w:r>
            <w:r w:rsidR="00623F49">
              <w:rPr>
                <w:b/>
                <w:sz w:val="21"/>
                <w:szCs w:val="21"/>
              </w:rPr>
              <w:t xml:space="preserve"> and Raster </w:t>
            </w:r>
            <w:r w:rsidR="00D73119">
              <w:rPr>
                <w:b/>
                <w:sz w:val="21"/>
                <w:szCs w:val="21"/>
              </w:rPr>
              <w:t>Processing</w:t>
            </w:r>
            <w:r w:rsidR="00623F49">
              <w:rPr>
                <w:b/>
                <w:sz w:val="21"/>
                <w:szCs w:val="21"/>
              </w:rPr>
              <w:t xml:space="preserve"> with Python Tools </w:t>
            </w:r>
          </w:p>
          <w:p w:rsidR="00623F49" w:rsidRPr="00AE61AE" w:rsidRDefault="00D73119" w:rsidP="006416A3">
            <w:pPr>
              <w:tabs>
                <w:tab w:val="left" w:pos="2205"/>
              </w:tabs>
              <w:rPr>
                <w:b/>
                <w:sz w:val="21"/>
                <w:szCs w:val="21"/>
              </w:rPr>
            </w:pPr>
            <w:r>
              <w:rPr>
                <w:b/>
                <w:sz w:val="21"/>
                <w:szCs w:val="21"/>
              </w:rPr>
              <w:t>Homework #10</w:t>
            </w:r>
            <w:r w:rsidR="00623F49">
              <w:rPr>
                <w:b/>
                <w:sz w:val="21"/>
                <w:szCs w:val="21"/>
              </w:rPr>
              <w:t xml:space="preserve"> Assigned </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16A3" w:rsidRPr="00F30FBA" w:rsidRDefault="006416A3" w:rsidP="00180F7E">
            <w:pPr>
              <w:pStyle w:val="ListParagraph"/>
              <w:jc w:val="center"/>
              <w:rPr>
                <w:bCs/>
                <w:sz w:val="20"/>
                <w:szCs w:val="20"/>
              </w:rPr>
            </w:pPr>
            <w:r>
              <w:t>Numpy and Esri Raster Functions</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23F49" w:rsidRDefault="00623F49" w:rsidP="00623F49">
            <w:pPr>
              <w:rPr>
                <w:b/>
                <w:sz w:val="21"/>
                <w:szCs w:val="21"/>
              </w:rPr>
            </w:pPr>
            <w:r>
              <w:rPr>
                <w:b/>
                <w:sz w:val="21"/>
                <w:szCs w:val="21"/>
              </w:rPr>
              <w:t>Project 3 is Due</w:t>
            </w:r>
          </w:p>
          <w:p w:rsidR="00623F49" w:rsidRDefault="00623F49" w:rsidP="006416A3">
            <w:pPr>
              <w:rPr>
                <w:b/>
                <w:sz w:val="21"/>
                <w:szCs w:val="21"/>
              </w:rPr>
            </w:pPr>
            <w:r>
              <w:rPr>
                <w:b/>
                <w:sz w:val="21"/>
                <w:szCs w:val="21"/>
              </w:rPr>
              <w:t>Final project should be defined by now</w:t>
            </w:r>
          </w:p>
          <w:p w:rsidR="006416A3" w:rsidRDefault="006416A3" w:rsidP="006416A3">
            <w:pPr>
              <w:rPr>
                <w:b/>
                <w:sz w:val="21"/>
                <w:szCs w:val="21"/>
              </w:rPr>
            </w:pPr>
            <w:r w:rsidRPr="003A3C3E">
              <w:rPr>
                <w:b/>
                <w:sz w:val="21"/>
                <w:szCs w:val="21"/>
              </w:rPr>
              <w:t>Chapter 3 of VanderPlas and Custom Exercises</w:t>
            </w:r>
          </w:p>
          <w:p w:rsidR="006416A3" w:rsidRPr="00D73119" w:rsidRDefault="006416A3" w:rsidP="006416A3">
            <w:pPr>
              <w:rPr>
                <w:b/>
                <w:sz w:val="21"/>
                <w:szCs w:val="21"/>
              </w:rPr>
            </w:pPr>
            <w:r>
              <w:rPr>
                <w:b/>
                <w:sz w:val="21"/>
                <w:szCs w:val="21"/>
              </w:rPr>
              <w:t>Homework #</w:t>
            </w:r>
            <w:r w:rsidR="00D73119">
              <w:rPr>
                <w:b/>
                <w:sz w:val="21"/>
                <w:szCs w:val="21"/>
              </w:rPr>
              <w:t>11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16A3" w:rsidRPr="00F30FBA" w:rsidRDefault="006416A3" w:rsidP="00180F7E">
            <w:pPr>
              <w:pStyle w:val="ListParagraph"/>
              <w:jc w:val="center"/>
              <w:rPr>
                <w:sz w:val="20"/>
                <w:szCs w:val="20"/>
              </w:rPr>
            </w:pPr>
            <w:r>
              <w:t>Data Visualization with Python in Jupyter</w:t>
            </w:r>
            <w:r w:rsidR="00DB1161">
              <w:t>: Matplotlib and Beyond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b/>
                <w:sz w:val="21"/>
                <w:szCs w:val="21"/>
                <w:lang w:val="pt-BR"/>
              </w:rPr>
            </w:pPr>
            <w:r>
              <w:rPr>
                <w:b/>
                <w:sz w:val="21"/>
                <w:szCs w:val="21"/>
                <w:lang w:val="pt-BR"/>
              </w:rPr>
              <w:t>Chapter 4 of VanderPlas and Custom Exercises</w:t>
            </w:r>
          </w:p>
          <w:p w:rsidR="006416A3" w:rsidRPr="00D73119" w:rsidRDefault="00D73119" w:rsidP="006416A3">
            <w:pPr>
              <w:rPr>
                <w:sz w:val="21"/>
                <w:szCs w:val="21"/>
                <w:lang w:val="pt-BR"/>
              </w:rPr>
            </w:pPr>
            <w:r>
              <w:rPr>
                <w:b/>
                <w:sz w:val="21"/>
                <w:szCs w:val="21"/>
                <w:lang w:val="pt-BR"/>
              </w:rPr>
              <w:t>Homework 12 Assienged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16A3" w:rsidRPr="00F1103E" w:rsidRDefault="006416A3" w:rsidP="00180F7E">
            <w:pPr>
              <w:pStyle w:val="ListParagraph"/>
              <w:jc w:val="center"/>
              <w:rPr>
                <w:bCs/>
                <w:sz w:val="20"/>
                <w:szCs w:val="20"/>
              </w:rPr>
            </w:pPr>
            <w:r w:rsidRPr="00F1103E">
              <w:t>Intro to Machine Learning with Scikit-Learn and Applications to GIS and Remote Sensing</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b/>
                <w:sz w:val="21"/>
                <w:szCs w:val="21"/>
                <w:lang w:val="pt-BR"/>
              </w:rPr>
            </w:pPr>
            <w:r>
              <w:rPr>
                <w:b/>
                <w:sz w:val="21"/>
                <w:szCs w:val="21"/>
                <w:lang w:val="pt-BR"/>
              </w:rPr>
              <w:t>Chapter 5 of VanderPlas</w:t>
            </w:r>
          </w:p>
          <w:p w:rsidR="006416A3" w:rsidRPr="00D73119" w:rsidRDefault="006416A3" w:rsidP="006416A3">
            <w:pPr>
              <w:rPr>
                <w:b/>
                <w:sz w:val="21"/>
                <w:szCs w:val="21"/>
                <w:lang w:val="pt-BR"/>
              </w:rPr>
            </w:pPr>
            <w:r>
              <w:rPr>
                <w:b/>
                <w:sz w:val="21"/>
                <w:szCs w:val="21"/>
                <w:lang w:val="pt-BR"/>
              </w:rPr>
              <w:t>Homework #</w:t>
            </w:r>
            <w:r w:rsidR="00D73119">
              <w:rPr>
                <w:b/>
                <w:sz w:val="21"/>
                <w:szCs w:val="21"/>
                <w:lang w:val="pt-BR"/>
              </w:rPr>
              <w:t>13</w:t>
            </w:r>
            <w:r>
              <w:rPr>
                <w:b/>
                <w:sz w:val="21"/>
                <w:szCs w:val="21"/>
                <w:lang w:val="pt-BR"/>
              </w:rPr>
              <w:t xml:space="preserve"> Assigned: SKLearn and Imagery</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16A3" w:rsidRPr="00F30FBA" w:rsidRDefault="006416A3" w:rsidP="00180F7E">
            <w:pPr>
              <w:pStyle w:val="ListParagraph"/>
              <w:jc w:val="center"/>
              <w:rPr>
                <w:bCs/>
                <w:sz w:val="20"/>
                <w:szCs w:val="20"/>
              </w:rPr>
            </w:pPr>
            <w:r>
              <w:t>Advanced Computational Techniques Applied to Geographic Data</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sz w:val="20"/>
                <w:szCs w:val="20"/>
              </w:rPr>
            </w:pPr>
            <w:hyperlink r:id="rId21" w:history="1">
              <w:r w:rsidRPr="003A3C3E">
                <w:rPr>
                  <w:rStyle w:val="Hyperlink"/>
                  <w:sz w:val="20"/>
                  <w:szCs w:val="20"/>
                </w:rPr>
                <w:t>Video on Multiprocessing</w:t>
              </w:r>
            </w:hyperlink>
          </w:p>
          <w:p w:rsidR="006416A3" w:rsidRDefault="006416A3" w:rsidP="006416A3">
            <w:pPr>
              <w:rPr>
                <w:sz w:val="20"/>
                <w:szCs w:val="20"/>
              </w:rPr>
            </w:pPr>
            <w:hyperlink r:id="rId22" w:history="1">
              <w:r w:rsidRPr="003A3C3E">
                <w:rPr>
                  <w:rStyle w:val="Hyperlink"/>
                  <w:sz w:val="20"/>
                  <w:szCs w:val="20"/>
                </w:rPr>
                <w:t>Concurrent for Web Requests</w:t>
              </w:r>
            </w:hyperlink>
          </w:p>
          <w:p w:rsidR="006416A3" w:rsidRDefault="006416A3" w:rsidP="006416A3">
            <w:pPr>
              <w:rPr>
                <w:sz w:val="20"/>
                <w:szCs w:val="20"/>
              </w:rPr>
            </w:pPr>
            <w:r>
              <w:rPr>
                <w:sz w:val="20"/>
                <w:szCs w:val="20"/>
              </w:rPr>
              <w:t xml:space="preserve">In Class Exercises Based on </w:t>
            </w:r>
            <w:hyperlink r:id="rId23" w:history="1">
              <w:r w:rsidRPr="0032537A">
                <w:rPr>
                  <w:rStyle w:val="Hyperlink"/>
                  <w:sz w:val="20"/>
                  <w:szCs w:val="20"/>
                </w:rPr>
                <w:t>Multiprocessing with ArcGIS</w:t>
              </w:r>
            </w:hyperlink>
            <w:r>
              <w:rPr>
                <w:sz w:val="20"/>
                <w:szCs w:val="20"/>
              </w:rPr>
              <w:t xml:space="preserve"> </w:t>
            </w:r>
          </w:p>
          <w:p w:rsidR="006416A3" w:rsidRPr="00F30FBA" w:rsidRDefault="006416A3" w:rsidP="006416A3">
            <w:pPr>
              <w:rPr>
                <w:sz w:val="20"/>
                <w:szCs w:val="20"/>
              </w:rPr>
            </w:pPr>
            <w:r w:rsidRPr="00F425DA">
              <w:rPr>
                <w:b/>
                <w:sz w:val="20"/>
                <w:szCs w:val="20"/>
              </w:rPr>
              <w:t>Homework</w:t>
            </w:r>
            <w:r>
              <w:rPr>
                <w:b/>
                <w:sz w:val="20"/>
                <w:szCs w:val="20"/>
              </w:rPr>
              <w:t xml:space="preserve"> </w:t>
            </w:r>
            <w:r w:rsidR="00D73119">
              <w:rPr>
                <w:b/>
                <w:sz w:val="20"/>
                <w:szCs w:val="20"/>
              </w:rPr>
              <w:t>#14</w:t>
            </w:r>
            <w:r>
              <w:rPr>
                <w:b/>
                <w:sz w:val="20"/>
                <w:szCs w:val="20"/>
              </w:rPr>
              <w:t xml:space="preserve"> Assigned</w:t>
            </w:r>
            <w:r w:rsidRPr="00F425DA">
              <w:rPr>
                <w:b/>
                <w:sz w:val="20"/>
                <w:szCs w:val="20"/>
              </w:rPr>
              <w:t>:</w:t>
            </w:r>
            <w:r>
              <w:rPr>
                <w:sz w:val="20"/>
                <w:szCs w:val="20"/>
              </w:rPr>
              <w:t xml:space="preserve"> Multiprocessing Exercise</w:t>
            </w:r>
          </w:p>
        </w:tc>
      </w:tr>
      <w:tr w:rsidR="00DB1161"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DB1161" w:rsidRPr="00F30FBA" w:rsidRDefault="00DB1161" w:rsidP="00180F7E">
            <w:pPr>
              <w:pStyle w:val="ListParagraph"/>
              <w:jc w:val="center"/>
              <w:rPr>
                <w:sz w:val="20"/>
                <w:szCs w:val="20"/>
              </w:rPr>
            </w:pPr>
            <w:r>
              <w:t>Students Present Final Projects</w:t>
            </w:r>
          </w:p>
        </w:tc>
      </w:tr>
      <w:tr w:rsidR="00DB1161"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DB1161" w:rsidRPr="00F30FBA" w:rsidRDefault="00DB1161" w:rsidP="00DB1161">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DB1161" w:rsidRPr="00F30FBA" w:rsidRDefault="00DB1161" w:rsidP="00DB116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DB1161" w:rsidRPr="006A1946" w:rsidRDefault="00DB1161" w:rsidP="00DB1161">
            <w:pPr>
              <w:rPr>
                <w:sz w:val="20"/>
                <w:szCs w:val="20"/>
              </w:rPr>
            </w:pPr>
            <w:r>
              <w:rPr>
                <w:sz w:val="20"/>
                <w:szCs w:val="20"/>
              </w:rPr>
              <w:t>Student presentations</w:t>
            </w:r>
          </w:p>
          <w:p w:rsidR="00DB1161" w:rsidRPr="00D73119" w:rsidRDefault="00DB1161" w:rsidP="00D73119">
            <w:pPr>
              <w:rPr>
                <w:b/>
                <w:sz w:val="20"/>
                <w:szCs w:val="20"/>
              </w:rPr>
            </w:pPr>
            <w:r w:rsidRPr="0000400D">
              <w:rPr>
                <w:b/>
                <w:sz w:val="20"/>
                <w:szCs w:val="20"/>
              </w:rPr>
              <w:t>What is due:</w:t>
            </w:r>
            <w:r>
              <w:rPr>
                <w:b/>
                <w:sz w:val="20"/>
                <w:szCs w:val="20"/>
              </w:rPr>
              <w:t xml:space="preserve"> </w:t>
            </w:r>
            <w:r w:rsidRPr="0000400D">
              <w:rPr>
                <w:i/>
                <w:sz w:val="20"/>
                <w:szCs w:val="20"/>
              </w:rPr>
              <w:t>Final</w:t>
            </w:r>
            <w:r>
              <w:rPr>
                <w:i/>
                <w:sz w:val="20"/>
                <w:szCs w:val="20"/>
              </w:rPr>
              <w:t xml:space="preserve"> Project and P</w:t>
            </w:r>
            <w:r w:rsidRPr="0000400D">
              <w:rPr>
                <w:i/>
                <w:sz w:val="20"/>
                <w:szCs w:val="20"/>
              </w:rPr>
              <w:t>resentation</w:t>
            </w:r>
          </w:p>
        </w:tc>
      </w:tr>
    </w:tbl>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Where there is clear indication of such dishonesty, the faculty and/or administration have the responsibility of applying sanctions in order to protect the environment of integrity necessary for learning. While not all forms of academic dishonesty can be listed here, the following instances should be seen as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4"/>
      <w:footerReference w:type="default" r:id="rId25"/>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019" w:rsidRDefault="00E72019" w:rsidP="00F432DD">
      <w:r>
        <w:separator/>
      </w:r>
    </w:p>
  </w:endnote>
  <w:endnote w:type="continuationSeparator" w:id="0">
    <w:p w:rsidR="00E72019" w:rsidRDefault="00E72019"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CF" w:rsidRDefault="00A344CF">
    <w:pPr>
      <w:pStyle w:val="Footer"/>
      <w:jc w:val="right"/>
    </w:pPr>
  </w:p>
  <w:p w:rsidR="00A344CF" w:rsidRDefault="00A3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019" w:rsidRDefault="00E72019" w:rsidP="00F432DD">
      <w:r>
        <w:separator/>
      </w:r>
    </w:p>
  </w:footnote>
  <w:footnote w:type="continuationSeparator" w:id="0">
    <w:p w:rsidR="00E72019" w:rsidRDefault="00E72019"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A344CF" w:rsidRPr="002672FB" w:rsidRDefault="00A344CF"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50</w:t>
        </w:r>
        <w:r w:rsidR="001E4427">
          <w:rPr>
            <w:sz w:val="20"/>
            <w:szCs w:val="20"/>
          </w:rPr>
          <w:t>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212088">
          <w:rPr>
            <w:noProof/>
            <w:sz w:val="20"/>
            <w:szCs w:val="20"/>
          </w:rPr>
          <w:t>7</w:t>
        </w:r>
        <w:r w:rsidRPr="002672FB">
          <w:rPr>
            <w:noProof/>
            <w:sz w:val="20"/>
            <w:szCs w:val="20"/>
          </w:rPr>
          <w:fldChar w:fldCharType="end"/>
        </w:r>
      </w:p>
      <w:p w:rsidR="00A344CF" w:rsidRPr="002672FB" w:rsidRDefault="00A344CF"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4983"/>
    <w:rsid w:val="00104DBA"/>
    <w:rsid w:val="00136E86"/>
    <w:rsid w:val="0014117C"/>
    <w:rsid w:val="00165027"/>
    <w:rsid w:val="00173462"/>
    <w:rsid w:val="00176A43"/>
    <w:rsid w:val="00180F7E"/>
    <w:rsid w:val="0018349B"/>
    <w:rsid w:val="001953BF"/>
    <w:rsid w:val="001B6AE4"/>
    <w:rsid w:val="001D2AB1"/>
    <w:rsid w:val="001D6306"/>
    <w:rsid w:val="001E0A44"/>
    <w:rsid w:val="001E2AC7"/>
    <w:rsid w:val="001E4427"/>
    <w:rsid w:val="00212088"/>
    <w:rsid w:val="00260628"/>
    <w:rsid w:val="00260F0F"/>
    <w:rsid w:val="002672FB"/>
    <w:rsid w:val="002E4FE3"/>
    <w:rsid w:val="0030139E"/>
    <w:rsid w:val="003121C6"/>
    <w:rsid w:val="0032537A"/>
    <w:rsid w:val="00337A8E"/>
    <w:rsid w:val="003459C7"/>
    <w:rsid w:val="003469D2"/>
    <w:rsid w:val="003A3C3E"/>
    <w:rsid w:val="003A5655"/>
    <w:rsid w:val="003C4F7C"/>
    <w:rsid w:val="003D306B"/>
    <w:rsid w:val="00411F4F"/>
    <w:rsid w:val="004456F5"/>
    <w:rsid w:val="00462F03"/>
    <w:rsid w:val="004723D0"/>
    <w:rsid w:val="004C4984"/>
    <w:rsid w:val="004C7810"/>
    <w:rsid w:val="004D369B"/>
    <w:rsid w:val="004E213F"/>
    <w:rsid w:val="004F4036"/>
    <w:rsid w:val="00525D5B"/>
    <w:rsid w:val="00557A7B"/>
    <w:rsid w:val="005644D7"/>
    <w:rsid w:val="005908C9"/>
    <w:rsid w:val="005B3FE3"/>
    <w:rsid w:val="005E1257"/>
    <w:rsid w:val="005F2D5E"/>
    <w:rsid w:val="005F2D62"/>
    <w:rsid w:val="00614E38"/>
    <w:rsid w:val="00615E2E"/>
    <w:rsid w:val="00623F49"/>
    <w:rsid w:val="006416A3"/>
    <w:rsid w:val="00647C30"/>
    <w:rsid w:val="006A1946"/>
    <w:rsid w:val="006B0EEC"/>
    <w:rsid w:val="006C0A4E"/>
    <w:rsid w:val="006C700B"/>
    <w:rsid w:val="006D4EEE"/>
    <w:rsid w:val="006D5A9C"/>
    <w:rsid w:val="007328E6"/>
    <w:rsid w:val="00761C45"/>
    <w:rsid w:val="00770942"/>
    <w:rsid w:val="00791CF1"/>
    <w:rsid w:val="007A1AC4"/>
    <w:rsid w:val="007A5A15"/>
    <w:rsid w:val="007C3A59"/>
    <w:rsid w:val="007C7C7E"/>
    <w:rsid w:val="007D6C65"/>
    <w:rsid w:val="007E2402"/>
    <w:rsid w:val="00841457"/>
    <w:rsid w:val="008541D4"/>
    <w:rsid w:val="008770A6"/>
    <w:rsid w:val="00880A11"/>
    <w:rsid w:val="0089485B"/>
    <w:rsid w:val="008B3344"/>
    <w:rsid w:val="008B483E"/>
    <w:rsid w:val="008C1BC9"/>
    <w:rsid w:val="008C7DB3"/>
    <w:rsid w:val="008D060C"/>
    <w:rsid w:val="00906C33"/>
    <w:rsid w:val="0096596B"/>
    <w:rsid w:val="009A03EF"/>
    <w:rsid w:val="009A4482"/>
    <w:rsid w:val="009C104A"/>
    <w:rsid w:val="00A16CD4"/>
    <w:rsid w:val="00A344CF"/>
    <w:rsid w:val="00A61D21"/>
    <w:rsid w:val="00A9667B"/>
    <w:rsid w:val="00AE61AE"/>
    <w:rsid w:val="00B02D0D"/>
    <w:rsid w:val="00B32057"/>
    <w:rsid w:val="00B64CA6"/>
    <w:rsid w:val="00B835C6"/>
    <w:rsid w:val="00B9123B"/>
    <w:rsid w:val="00BC04A8"/>
    <w:rsid w:val="00BD3C21"/>
    <w:rsid w:val="00C14AD9"/>
    <w:rsid w:val="00C277D5"/>
    <w:rsid w:val="00C509E9"/>
    <w:rsid w:val="00C5299E"/>
    <w:rsid w:val="00C933BE"/>
    <w:rsid w:val="00CB117E"/>
    <w:rsid w:val="00CB51AE"/>
    <w:rsid w:val="00CC0CC9"/>
    <w:rsid w:val="00CC28A6"/>
    <w:rsid w:val="00CF3668"/>
    <w:rsid w:val="00D601A9"/>
    <w:rsid w:val="00D73119"/>
    <w:rsid w:val="00D94D44"/>
    <w:rsid w:val="00DB1161"/>
    <w:rsid w:val="00DC1B55"/>
    <w:rsid w:val="00DC4C1E"/>
    <w:rsid w:val="00DC6AC5"/>
    <w:rsid w:val="00DF1C97"/>
    <w:rsid w:val="00DF6FA1"/>
    <w:rsid w:val="00E314E7"/>
    <w:rsid w:val="00E44B3A"/>
    <w:rsid w:val="00E57EFF"/>
    <w:rsid w:val="00E72019"/>
    <w:rsid w:val="00E742E7"/>
    <w:rsid w:val="00EC38B2"/>
    <w:rsid w:val="00EF527D"/>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9C2C2"/>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 w:type="character" w:styleId="UnresolvedMention">
    <w:name w:val="Unresolved Mention"/>
    <w:basedOn w:val="DefaultParagraphFont"/>
    <w:uiPriority w:val="99"/>
    <w:semiHidden/>
    <w:unhideWhenUsed/>
    <w:rsid w:val="004D36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github.com/gbrunner/Python_for_GIS_and_RS" TargetMode="External"/><Relationship Id="rId18" Type="http://schemas.openxmlformats.org/officeDocument/2006/relationships/hyperlink" Target="http://www.slu.edu/general-counsel-home/office-of-institutional-equity-and-diversity/sexual-misconduct-polic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dubanq.com/programming/python/multiprocessing-with-python/" TargetMode="External"/><Relationship Id="rId7" Type="http://schemas.openxmlformats.org/officeDocument/2006/relationships/endnotes" Target="endnotes.xml"/><Relationship Id="rId12" Type="http://schemas.openxmlformats.org/officeDocument/2006/relationships/hyperlink" Target="https://developers.arcgis.com/javascript/3/" TargetMode="External"/><Relationship Id="rId17" Type="http://schemas.openxmlformats.org/officeDocument/2006/relationships/hyperlink" Target="http://www.slu.edu/Documents/provost/academic_affairs/University-wide%20Academic%20Integrity%20Policy%20FINAL%20%206-26-15.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acktpub.com/application-development/mastering-geospatial-analysis-python" TargetMode="External"/><Relationship Id="rId20" Type="http://schemas.openxmlformats.org/officeDocument/2006/relationships/hyperlink" Target="https://developers.arcgis.com/python/sample-noteboo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lium.readthedocs.io/en/lates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mazon.com/ArcGIS-Web-Development-Rene-Rubalcava/dp/1617291617" TargetMode="External"/><Relationship Id="rId23" Type="http://schemas.openxmlformats.org/officeDocument/2006/relationships/hyperlink" Target="https://blogs.esri.com/esri/arcgis/2012/09/26/distributed-processing-with-arcgis-part-1/" TargetMode="External"/><Relationship Id="rId10" Type="http://schemas.openxmlformats.org/officeDocument/2006/relationships/hyperlink" Target="https://developers.arcgis.com/python/" TargetMode="External"/><Relationship Id="rId19" Type="http://schemas.openxmlformats.org/officeDocument/2006/relationships/hyperlink" Target="http://www.slu.edu/here4you" TargetMode="External"/><Relationship Id="rId4" Type="http://schemas.openxmlformats.org/officeDocument/2006/relationships/settings" Target="settings.xml"/><Relationship Id="rId9" Type="http://schemas.openxmlformats.org/officeDocument/2006/relationships/hyperlink" Target="https://jakevdp.github.io/PythonDataScienceHandbook/02.00-introduction-to-numpy.html" TargetMode="External"/><Relationship Id="rId14" Type="http://schemas.openxmlformats.org/officeDocument/2006/relationships/hyperlink" Target="https://www.amazon.com/_/dp/1491912057?tag=oreilly20-20" TargetMode="External"/><Relationship Id="rId22" Type="http://schemas.openxmlformats.org/officeDocument/2006/relationships/hyperlink" Target="http://www.gregreda.com/2016/10/16/asynchronous-scraping-with-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A7361-E9F7-4AC7-B9C1-384D3B37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12</cp:revision>
  <cp:lastPrinted>2015-08-24T02:16:00Z</cp:lastPrinted>
  <dcterms:created xsi:type="dcterms:W3CDTF">2018-02-05T20:50:00Z</dcterms:created>
  <dcterms:modified xsi:type="dcterms:W3CDTF">2018-08-10T01:31:00Z</dcterms:modified>
</cp:coreProperties>
</file>