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Business Requirements Document (BRD)</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AI-assisted test design, execution and requirements traceability for the Saudi software market</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Business Requirements Document (BRD)</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 (MVP baseline)</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(Founder, QA background)</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for design-partner validation</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Document Control</w:t>
      </w:r>
    </w:p>
    <w:p>
      <w:pPr>
        <w:pStyle w:val="Heading2"/>
        <w:spacing w:after="110" w:before="260"/>
      </w:pPr>
      <w:r>
        <w:rPr>
          <w:rFonts w:ascii="Calibri" w:cs="Calibri" w:eastAsia="Calibri" w:hAnsi="Calibri"/>
          <w:b/>
          <w:bCs/>
          <w:color w:val="2E75B6"/>
          <w:sz w:val="25"/>
          <w:szCs w:val="25"/>
        </w:rPr>
        <w:t xml:space="preserve">1.1 Purpose of this document</w:t>
      </w:r>
    </w:p>
    <w:p>
      <w:pPr>
        <w:spacing w:after="120" w:line="276"/>
      </w:pPr>
      <w:r>
        <w:rPr>
          <w:rFonts w:ascii="Calibri" w:cs="Calibri" w:eastAsia="Calibri" w:hAnsi="Calibri"/>
          <w:b w:val="false"/>
          <w:bCs w:val="false"/>
          <w:i w:val="false"/>
          <w:iCs w:val="false"/>
          <w:color w:val="262626"/>
          <w:sz w:val="21"/>
          <w:szCs w:val="21"/>
        </w:rPr>
        <w:t xml:space="preserve">This Business Requirements Document (BRD) states the business problem TADQEEQ addresses, the customers it serves, the commercial model, and the business-level requirements the product must satisfy. It is the parent document for the Software Requirements Specification (SRS) and the Technical Requirements Document (TRD); every functional requirement in the SRS traces back to a business requirement (BR-xx) defined here.</w:t>
      </w:r>
    </w:p>
    <w:p>
      <w:pPr>
        <w:spacing w:after="120" w:line="276"/>
      </w:pPr>
      <w:r>
        <w:rPr>
          <w:rFonts w:ascii="Calibri" w:cs="Calibri" w:eastAsia="Calibri" w:hAnsi="Calibri"/>
          <w:b w:val="false"/>
          <w:bCs w:val="false"/>
          <w:i w:val="false"/>
          <w:iCs w:val="false"/>
          <w:color w:val="262626"/>
          <w:sz w:val="21"/>
          <w:szCs w:val="21"/>
        </w:rPr>
        <w:t xml:space="preserve">The document is deliberately scoped to the MVP release. Later phases (v1 to v3) are described only at the level needed to show direction, and are not committed scope.</w:t>
      </w:r>
    </w:p>
    <w:p>
      <w:pPr>
        <w:pStyle w:val="Heading2"/>
        <w:spacing w:after="110" w:before="260"/>
      </w:pPr>
      <w:r>
        <w:rPr>
          <w:rFonts w:ascii="Calibri" w:cs="Calibri" w:eastAsia="Calibri" w:hAnsi="Calibri"/>
          <w:b/>
          <w:bCs/>
          <w:color w:val="2E75B6"/>
          <w:sz w:val="25"/>
          <w:szCs w:val="25"/>
        </w:rPr>
        <w:t xml:space="preserve">1.2 Intended audience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42"/>
        <w:gridCol w:w="6418"/>
      </w:tblGrid>
      <w:tr>
        <w:trPr>
          <w:tblHeader/>
        </w:trPr>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Audience</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How they use this document</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Founder / Product Owner</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Owns the business case, pricing and go-to-market decisions recorded here.</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Engineering team</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Uses BR-xx as the rationale behind SRS requirements; challenges any requirement without a business owner.</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Design partners (pilot QA teams)</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Validates that the problem statement and value proposition match their real workflow.</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Prospective investors and advisors</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Assesses market framing, differentiation and commercial model.</w:t>
            </w:r>
          </w:p>
        </w:tc>
      </w:tr>
    </w:tbl>
    <w:p>
      <w:pPr>
        <w:pStyle w:val="Heading2"/>
        <w:spacing w:after="110" w:before="260"/>
      </w:pPr>
      <w:r>
        <w:rPr>
          <w:rFonts w:ascii="Calibri" w:cs="Calibri" w:eastAsia="Calibri" w:hAnsi="Calibri"/>
          <w:b/>
          <w:bCs/>
          <w:color w:val="2E75B6"/>
          <w:sz w:val="25"/>
          <w:szCs w:val="25"/>
        </w:rPr>
        <w:t xml:space="preserve">1.3 Related documents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Reference</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Description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SRS v1.0</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Requirements Specification — functional and non-functional requirements for the MVP.</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TRD v1.0</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Requirements Document — architecture, data model, APIs, LLM guardrails, deployment.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ISO/IEC/IEEE 29148</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engineering standard used as the structural reference for the SRS.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ISTQB FL syllabus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Source of the test design techniques the generator must implement (EP, BVA, decision tables).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Saudi PDPL / SDAIA guidance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Personal data protection obligations shaping the data residency and on-premise requirements.</w:t>
            </w:r>
          </w:p>
        </w:tc>
      </w:tr>
    </w:tbl>
    <w:p>
      <w:pPr>
        <w:pStyle w:val="Heading2"/>
        <w:spacing w:after="110" w:before="260"/>
      </w:pPr>
      <w:r>
        <w:rPr>
          <w:rFonts w:ascii="Calibri" w:cs="Calibri" w:eastAsia="Calibri" w:hAnsi="Calibri"/>
          <w:b/>
          <w:bCs/>
          <w:color w:val="2E75B6"/>
          <w:sz w:val="25"/>
          <w:szCs w:val="25"/>
        </w:rPr>
        <w:t xml:space="preserve">1.4 Revision history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70"/>
        <w:gridCol w:w="2055"/>
        <w:gridCol w:w="2740"/>
        <w:gridCol w:w="3195"/>
      </w:tblGrid>
      <w:tr>
        <w:trPr>
          <w:tblHeader/>
        </w:trPr>
        <w:tc>
          <w:tcPr>
            <w:tcW w:type="dxa" w:w="13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Version</w:t>
            </w:r>
          </w:p>
        </w:tc>
        <w:tc>
          <w:tcPr>
            <w:tcW w:type="dxa" w:w="205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Date</w:t>
            </w:r>
          </w:p>
        </w:tc>
        <w:tc>
          <w:tcPr>
            <w:tcW w:type="dxa" w:w="27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Author</w:t>
            </w:r>
          </w:p>
        </w:tc>
        <w:tc>
          <w:tcPr>
            <w:tcW w:type="dxa" w:w="319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Summary of change</w:t>
            </w:r>
          </w:p>
        </w:tc>
      </w:tr>
      <w:tr>
        <w:tc>
          <w:tcPr>
            <w:tcW w:type="dxa" w:w="137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0.1</w:t>
            </w:r>
          </w:p>
        </w:tc>
        <w:tc>
          <w:tcPr>
            <w:tcW w:type="dxa" w:w="20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2026-07-18</w:t>
            </w:r>
          </w:p>
        </w:tc>
        <w:tc>
          <w:tcPr>
            <w:tcW w:type="dxa" w:w="27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c>
          <w:tcPr>
            <w:tcW w:type="dxa" w:w="319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Initial concept note and market framing.</w:t>
            </w:r>
          </w:p>
        </w:tc>
      </w:tr>
      <w:tr>
        <w:tc>
          <w:tcPr>
            <w:tcW w:type="dxa" w:w="13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w:t>
            </w:r>
          </w:p>
        </w:tc>
        <w:tc>
          <w:tcPr>
            <w:tcW w:type="dxa" w:w="20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2026-07-24</w:t>
            </w:r>
          </w:p>
        </w:tc>
        <w:tc>
          <w:tcPr>
            <w:tcW w:type="dxa" w:w="27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c>
          <w:tcPr>
            <w:tcW w:type="dxa" w:w="31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First complete BRD baselined for design-partner validation and MVP scoping.</w:t>
            </w:r>
          </w:p>
        </w:tc>
      </w:tr>
    </w:tbl>
    <w:p>
      <w:pPr>
        <w:pStyle w:val="Heading2"/>
        <w:spacing w:after="110" w:before="260"/>
      </w:pPr>
      <w:r>
        <w:rPr>
          <w:rFonts w:ascii="Calibri" w:cs="Calibri" w:eastAsia="Calibri" w:hAnsi="Calibri"/>
          <w:b/>
          <w:bCs/>
          <w:color w:val="2E75B6"/>
          <w:sz w:val="25"/>
          <w:szCs w:val="25"/>
        </w:rPr>
        <w:t xml:space="preserve">1.5 Approval</w:t>
      </w:r>
    </w:p>
    <w:p>
      <w:pPr>
        <w:spacing w:after="120" w:line="276"/>
      </w:pPr>
      <w:r>
        <w:rPr>
          <w:rFonts w:ascii="Calibri" w:cs="Calibri" w:eastAsia="Calibri" w:hAnsi="Calibri"/>
          <w:b w:val="false"/>
          <w:bCs w:val="false"/>
          <w:i w:val="false"/>
          <w:iCs w:val="false"/>
          <w:color w:val="262626"/>
          <w:sz w:val="21"/>
          <w:szCs w:val="21"/>
        </w:rPr>
        <w:t xml:space="preserve">This document is not baselined for build until the three pilot QA teams have reviewed sections 3 and 6 and confirmed the problem statement reflects their day-to-day work.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574"/>
        <w:gridCol w:w="2340"/>
        <w:gridCol w:w="2106"/>
      </w:tblGrid>
      <w:tr>
        <w:trPr>
          <w:tblHeader/>
        </w:trPr>
        <w:tc>
          <w:tcPr>
            <w:tcW w:type="dxa" w:w="23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Role</w:t>
            </w:r>
          </w:p>
        </w:tc>
        <w:tc>
          <w:tcPr>
            <w:tcW w:type="dxa" w:w="25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Name</w:t>
            </w:r>
          </w:p>
        </w:tc>
        <w:tc>
          <w:tcPr>
            <w:tcW w:type="dxa" w:w="23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Signature</w:t>
            </w:r>
          </w:p>
        </w:tc>
        <w:tc>
          <w:tcPr>
            <w:tcW w:type="dxa" w:w="21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Date</w:t>
            </w:r>
          </w:p>
        </w:tc>
      </w:tr>
      <w:tr>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c>
          <w:tcPr>
            <w:tcW w:type="dxa" w:w="25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1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r>
      <w:tr>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Lead</w:t>
            </w:r>
          </w:p>
        </w:tc>
        <w:tc>
          <w:tcPr>
            <w:tcW w:type="dxa" w:w="25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1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r>
      <w:tr>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Design Partner 1 (QA Lead)</w:t>
            </w:r>
          </w:p>
        </w:tc>
        <w:tc>
          <w:tcPr>
            <w:tcW w:type="dxa" w:w="25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1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r>
      <w:tr>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Design Partner 2 (QA Lead)</w:t>
            </w:r>
          </w:p>
        </w:tc>
        <w:tc>
          <w:tcPr>
            <w:tcW w:type="dxa" w:w="25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c>
          <w:tcPr>
            <w:tcW w:type="dxa" w:w="21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w:r>
          </w:p>
        </w:tc>
      </w:tr>
    </w:tbl>
    <w:p>
      <w:pPr>
        <w:pStyle w:val="Heading1"/>
        <w:pageBreakBefore/>
        <w:spacing w:after="160" w:before="360"/>
      </w:pPr>
      <w:r>
        <w:rPr>
          <w:rFonts w:ascii="Calibri" w:cs="Calibri" w:eastAsia="Calibri" w:hAnsi="Calibri"/>
          <w:b/>
          <w:bCs/>
          <w:color w:val="1F4E79"/>
          <w:sz w:val="30"/>
          <w:szCs w:val="30"/>
        </w:rPr>
        <w:t xml:space="preserve">2. Executive Summary</w:t>
      </w:r>
    </w:p>
    <w:p>
      <w:pPr>
        <w:spacing w:after="120" w:line="276"/>
      </w:pPr>
      <w:r>
        <w:rPr>
          <w:rFonts w:ascii="Calibri" w:cs="Calibri" w:eastAsia="Calibri" w:hAnsi="Calibri"/>
          <w:b w:val="false"/>
          <w:bCs w:val="false"/>
          <w:i w:val="false"/>
          <w:iCs w:val="false"/>
          <w:color w:val="262626"/>
          <w:sz w:val="21"/>
          <w:szCs w:val="21"/>
        </w:rPr>
        <w:t xml:space="preserve">QA teams spend a disproportionate share of their capacity on work that is clerical rather than analytical: reading a requirements document, translating each requirement into test cases, maintaining the link between the two, and re-checking that link every time a requirement changes. In most teams the link is maintained — if at all — in a spreadsheet that goes stale within one sprint.</w:t>
      </w:r>
    </w:p>
    <w:p>
      <w:pPr>
        <w:spacing w:after="120" w:line="276"/>
      </w:pPr>
      <w:r>
        <w:rPr>
          <w:rFonts w:ascii="Calibri" w:cs="Calibri" w:eastAsia="Calibri" w:hAnsi="Calibri"/>
          <w:b w:val="false"/>
          <w:bCs w:val="false"/>
          <w:i w:val="false"/>
          <w:iCs w:val="false"/>
          <w:color w:val="262626"/>
          <w:sz w:val="21"/>
          <w:szCs w:val="21"/>
        </w:rPr>
        <w:t xml:space="preserve">TADQEEQ is a platform that ingests a requirements document, discovers the system under test, generates test cases that are explicitly bound to individual requirements, executes them, and maintains a live traceability matrix from requirement to test case to result. The MVP restricts execution to API testing, where assertions are deterministic and results are unambiguous.</w:t>
      </w:r>
    </w:p>
    <w:p>
      <w:pPr>
        <w:spacing w:after="120" w:line="276"/>
      </w:pPr>
      <w:r>
        <w:rPr>
          <w:rFonts w:ascii="Calibri" w:cs="Calibri" w:eastAsia="Calibri" w:hAnsi="Calibri"/>
          <w:b w:val="false"/>
          <w:bCs w:val="false"/>
          <w:i w:val="false"/>
          <w:iCs w:val="false"/>
          <w:color w:val="262626"/>
          <w:sz w:val="21"/>
          <w:szCs w:val="21"/>
        </w:rPr>
        <w:t xml:space="preserve">The commercial wedge is not "AI test generation" — that market is contested globally. The wedge is Arabic-language requirements ingestion, requirement-to-test traceability as a first-class artefact, and a deployment model (on-premise or in-Kingdom hosting) that Saudi government and semi-government entities can actually approve. Global competitors are weak on all three.</w:t>
      </w:r>
    </w:p>
    <w:p>
      <w:pPr>
        <w:pStyle w:val="Heading2"/>
        <w:spacing w:after="110" w:before="260"/>
      </w:pPr>
      <w:r>
        <w:rPr>
          <w:rFonts w:ascii="Calibri" w:cs="Calibri" w:eastAsia="Calibri" w:hAnsi="Calibri"/>
          <w:b/>
          <w:bCs/>
          <w:color w:val="2E75B6"/>
          <w:sz w:val="25"/>
          <w:szCs w:val="25"/>
        </w:rPr>
        <w:t xml:space="preserve">2.1 The one-line business case</w:t>
      </w:r>
    </w:p>
    <w:p>
      <w:pPr>
        <w:spacing w:after="120" w:line="276"/>
      </w:pPr>
      <w:r>
        <w:rPr>
          <w:rFonts w:ascii="Calibri" w:cs="Calibri" w:eastAsia="Calibri" w:hAnsi="Calibri"/>
          <w:b w:val="false"/>
          <w:bCs w:val="false"/>
          <w:i/>
          <w:iCs/>
          <w:color w:val="262626"/>
          <w:sz w:val="21"/>
          <w:szCs w:val="21"/>
        </w:rPr>
        <w:t xml:space="preserve">If a QA team of five spends 40–60% of its time authoring and maintaining test cases and traceability, and TADQEEQ removes even half of that, the platform pays for itself at any realistic per-seat price. The sale is made on recovered capacity and audit-ready traceability, not on novelty.</w:t>
      </w:r>
    </w:p>
    <w:p>
      <w:pPr>
        <w:pStyle w:val="Heading2"/>
        <w:spacing w:after="110" w:before="260"/>
      </w:pPr>
      <w:r>
        <w:rPr>
          <w:rFonts w:ascii="Calibri" w:cs="Calibri" w:eastAsia="Calibri" w:hAnsi="Calibri"/>
          <w:b/>
          <w:bCs/>
          <w:color w:val="2E75B6"/>
          <w:sz w:val="25"/>
          <w:szCs w:val="25"/>
        </w:rPr>
        <w:t xml:space="preserve">2.2 Strategic risks acknowledged up front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single largest execution risk is building for six months without a user. Section 12 makes design-partner recruitment a gate, not a task.</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second is scope: UI test automation is materially harder and more brittle than API testing, and has consumed comparable products. It is explicitly excluded from the MVP.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third is model reliability: an LLM that invents endpoints or acceptance criteria destroys trust on first contact. Constraining generation to discovered artefacts is a business requirement (BR-09), not only a technical one.</w:t>
      </w:r>
    </w:p>
    <w:p>
      <w:pPr>
        <w:pStyle w:val="Heading1"/>
        <w:pageBreakBefore/>
        <w:spacing w:after="160" w:before="360"/>
      </w:pPr>
      <w:r>
        <w:rPr>
          <w:rFonts w:ascii="Calibri" w:cs="Calibri" w:eastAsia="Calibri" w:hAnsi="Calibri"/>
          <w:b/>
          <w:bCs/>
          <w:color w:val="1F4E79"/>
          <w:sz w:val="30"/>
          <w:szCs w:val="30"/>
        </w:rPr>
        <w:t xml:space="preserve">3. Problem Statement</w:t>
      </w:r>
    </w:p>
    <w:p>
      <w:pPr>
        <w:pStyle w:val="Heading2"/>
        <w:spacing w:after="110" w:before="260"/>
      </w:pPr>
      <w:r>
        <w:rPr>
          <w:rFonts w:ascii="Calibri" w:cs="Calibri" w:eastAsia="Calibri" w:hAnsi="Calibri"/>
          <w:b/>
          <w:bCs/>
          <w:color w:val="2E75B6"/>
          <w:sz w:val="25"/>
          <w:szCs w:val="25"/>
        </w:rPr>
        <w:t xml:space="preserve">3.1 Current state</w:t>
      </w:r>
    </w:p>
    <w:p>
      <w:pPr>
        <w:spacing w:after="120" w:line="276"/>
      </w:pPr>
      <w:r>
        <w:rPr>
          <w:rFonts w:ascii="Calibri" w:cs="Calibri" w:eastAsia="Calibri" w:hAnsi="Calibri"/>
          <w:b w:val="false"/>
          <w:bCs w:val="false"/>
          <w:i w:val="false"/>
          <w:iCs w:val="false"/>
          <w:color w:val="262626"/>
          <w:sz w:val="21"/>
          <w:szCs w:val="21"/>
        </w:rPr>
        <w:t xml:space="preserve">In a typical Saudi software project — particularly one delivered against a government tender — the flow looks like this: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Requirements arrive as a formal document: a كراسة الشروط والمواصفات (scope of work), a Business Requirements Document, or a signed change request. It is a PDF or Word file, frequently in Arabic, frequently hundreds of pages.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 QA engineer reads the document and manually derives test cases into Excel, TestRail, Xray or Azure Test Plans.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The link between requirement and test case is recorded, if at all, as free text in a spreadsheet column.</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 requirement changes. Nobody can reliably answer which test cases are now invalid, so either everything is re-reviewed (expensive) or nothing is (risky).</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At delivery or audit time, the team is asked to prove coverage. The traceability matrix is reconstructed retrospectively, under time pressure, and is partly fiction.</w:t>
      </w:r>
    </w:p>
    <w:p>
      <w:pPr>
        <w:pStyle w:val="Heading2"/>
        <w:spacing w:after="110" w:before="260"/>
      </w:pPr>
      <w:r>
        <w:rPr>
          <w:rFonts w:ascii="Calibri" w:cs="Calibri" w:eastAsia="Calibri" w:hAnsi="Calibri"/>
          <w:b/>
          <w:bCs/>
          <w:color w:val="2E75B6"/>
          <w:sz w:val="25"/>
          <w:szCs w:val="25"/>
        </w:rPr>
        <w:t xml:space="preserve">3.2 Quantified pain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95"/>
        <w:gridCol w:w="2024"/>
        <w:gridCol w:w="3541"/>
      </w:tblGrid>
      <w:tr>
        <w:trPr>
          <w:tblHeader/>
        </w:trPr>
        <w:tc>
          <w:tcPr>
            <w:tcW w:type="dxa" w:w="379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Pain point</w:t>
            </w:r>
          </w:p>
        </w:tc>
        <w:tc>
          <w:tcPr>
            <w:tcW w:type="dxa" w:w="202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Estimated cost</w:t>
            </w:r>
          </w:p>
        </w:tc>
        <w:tc>
          <w:tcPr>
            <w:tcW w:type="dxa" w:w="35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Evidence to collect in pilot</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Manual authoring of test cases from a requirements document</w:t>
            </w:r>
          </w:p>
        </w:tc>
        <w:tc>
          <w:tcPr>
            <w:tcW w:type="dxa" w:w="202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40–60% of QA capacity</w:t>
            </w:r>
          </w:p>
        </w:tc>
        <w:tc>
          <w:tcPr>
            <w:tcW w:type="dxa" w:w="3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Time-tracking sample from design partners over two sprints.</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Maintaining requirement-to-test links after a change</w:t>
            </w:r>
          </w:p>
        </w:tc>
        <w:tc>
          <w:tcPr>
            <w:tcW w:type="dxa" w:w="202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0.5–1 day per significant change request</w:t>
            </w:r>
          </w:p>
        </w:tc>
        <w:tc>
          <w:tcPr>
            <w:tcW w:type="dxa" w:w="3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Count of change requests per release; hours logged against re-mapping.</w:t>
            </w:r>
          </w:p>
        </w:tc>
      </w:tr>
      <w:tr>
        <w:tc>
          <w:tcPr>
            <w:tcW w:type="dxa" w:w="379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Reconstructing a traceability matrix for delivery or audit</w:t>
            </w:r>
          </w:p>
        </w:tc>
        <w:tc>
          <w:tcPr>
            <w:tcW w:type="dxa" w:w="202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3–5 days per milestone</w:t>
            </w:r>
          </w:p>
        </w:tc>
        <w:tc>
          <w:tcPr>
            <w:tcW w:type="dxa" w:w="3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Interview design partners on their last government handover.</w:t>
            </w:r>
          </w:p>
        </w:tc>
      </w:tr>
      <w:tr>
        <w:tc>
          <w:tcPr>
            <w:tcW w:type="dxa" w:w="37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Coverage gaps discovered late (a requirement with zero tests)</w:t>
            </w:r>
          </w:p>
        </w:tc>
        <w:tc>
          <w:tcPr>
            <w:tcW w:type="dxa" w:w="202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Escaped defects, rework, penalty exposure</w:t>
            </w:r>
          </w:p>
        </w:tc>
        <w:tc>
          <w:tcPr>
            <w:tcW w:type="dxa" w:w="3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Count requirements with no linked test in partners’ current projects.</w:t>
            </w:r>
          </w:p>
        </w:tc>
      </w:tr>
    </w:tbl>
    <w:p>
      <w:pPr>
        <w:spacing w:after="120" w:line="276"/>
      </w:pPr>
      <w:r>
        <w:rPr>
          <w:rFonts w:ascii="Calibri" w:cs="Calibri" w:eastAsia="Calibri" w:hAnsi="Calibri"/>
          <w:b w:val="false"/>
          <w:bCs w:val="false"/>
          <w:i/>
          <w:iCs/>
          <w:color w:val="262626"/>
          <w:sz w:val="21"/>
          <w:szCs w:val="21"/>
        </w:rPr>
        <w:t xml:space="preserve">The percentages above are working hypotheses drawn from the founder’s direct QA experience. They are stated here so that the pilot can confirm or correct them; no business case in this document depends on a figure that the pilot cannot measure.</w:t>
      </w:r>
    </w:p>
    <w:p>
      <w:pPr>
        <w:pStyle w:val="Heading2"/>
        <w:spacing w:after="110" w:before="260"/>
      </w:pPr>
      <w:r>
        <w:rPr>
          <w:rFonts w:ascii="Calibri" w:cs="Calibri" w:eastAsia="Calibri" w:hAnsi="Calibri"/>
          <w:b/>
          <w:bCs/>
          <w:color w:val="2E75B6"/>
          <w:sz w:val="25"/>
          <w:szCs w:val="25"/>
        </w:rPr>
        <w:t xml:space="preserve">3.3 Why existing tools do not solve it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783"/>
        <w:gridCol w:w="3289"/>
        <w:gridCol w:w="3288"/>
      </w:tblGrid>
      <w:tr>
        <w:trPr>
          <w:tblHeader/>
        </w:trPr>
        <w:tc>
          <w:tcPr>
            <w:tcW w:type="dxa" w:w="278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Tool category</w:t>
            </w:r>
          </w:p>
        </w:tc>
        <w:tc>
          <w:tcPr>
            <w:tcW w:type="dxa" w:w="328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well</w:t>
            </w:r>
          </w:p>
        </w:tc>
        <w:tc>
          <w:tcPr>
            <w:tcW w:type="dxa" w:w="328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Where it fails for this problem</w:t>
            </w:r>
          </w:p>
        </w:tc>
      </w:tr>
      <w:tr>
        <w:tc>
          <w:tcPr>
            <w:tcW w:type="dxa" w:w="278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management (TestRail, Xray, Zephyr)</w:t>
            </w:r>
          </w:p>
        </w:tc>
        <w:tc>
          <w:tcPr>
            <w:tcW w:type="dxa" w:w="328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Stores test cases and links them to issues.</w:t>
            </w:r>
          </w:p>
        </w:tc>
        <w:tc>
          <w:tcPr>
            <w:tcW w:type="dxa" w:w="328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Links are manual. The tool has no understanding of the requirement text, so it cannot detect coverage gaps or flag tests invalidated by a change.</w:t>
            </w:r>
          </w:p>
        </w:tc>
      </w:tr>
      <w:tr>
        <w:tc>
          <w:tcPr>
            <w:tcW w:type="dxa" w:w="27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AI test automation (Testim, Mabl, Applitools, Qodo and similar)</w:t>
            </w:r>
          </w:p>
        </w:tc>
        <w:tc>
          <w:tcPr>
            <w:tcW w:type="dxa" w:w="328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Generates and self-heals UI tests; strong execution engines.</w:t>
            </w:r>
          </w:p>
        </w:tc>
        <w:tc>
          <w:tcPr>
            <w:tcW w:type="dxa" w:w="328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Starts from the application, not from the requirement. No requirement-side traceability, English-first document handling, SaaS-only deployment.</w:t>
            </w:r>
          </w:p>
        </w:tc>
      </w:tr>
      <w:tr>
        <w:tc>
          <w:tcPr>
            <w:tcW w:type="dxa" w:w="278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API testing tools (Postman, RestAssured, Karate)</w:t>
            </w:r>
          </w:p>
        </w:tc>
        <w:tc>
          <w:tcPr>
            <w:tcW w:type="dxa" w:w="328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Excellent execution and assertion capability.</w:t>
            </w:r>
          </w:p>
        </w:tc>
        <w:tc>
          <w:tcPr>
            <w:tcW w:type="dxa" w:w="328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authoring is entirely manual; no connection to a requirements source; no coverage reporting against requirements.</w:t>
            </w:r>
          </w:p>
        </w:tc>
      </w:tr>
      <w:tr>
        <w:tc>
          <w:tcPr>
            <w:tcW w:type="dxa" w:w="27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General-purpose LLM chat</w:t>
            </w:r>
          </w:p>
        </w:tc>
        <w:tc>
          <w:tcPr>
            <w:tcW w:type="dxa" w:w="328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Can draft plausible test cases from pasted text.</w:t>
            </w:r>
          </w:p>
        </w:tc>
        <w:tc>
          <w:tcPr>
            <w:tcW w:type="dxa" w:w="328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grounding in the real API surface, so it invents endpoints and fields; no execution; no persistence; no traceability; unacceptable for regulated data.</w:t>
            </w:r>
          </w:p>
        </w:tc>
      </w:tr>
    </w:tbl>
    <w:p>
      <w:pPr>
        <w:pStyle w:val="Heading2"/>
        <w:spacing w:after="110" w:before="260"/>
      </w:pPr>
      <w:r>
        <w:rPr>
          <w:rFonts w:ascii="Calibri" w:cs="Calibri" w:eastAsia="Calibri" w:hAnsi="Calibri"/>
          <w:b/>
          <w:bCs/>
          <w:color w:val="2E75B6"/>
          <w:sz w:val="25"/>
          <w:szCs w:val="25"/>
        </w:rPr>
        <w:t xml:space="preserve">3.4 Problem statement (formal)</w:t>
      </w:r>
    </w:p>
    <w:p>
      <w:pPr>
        <w:spacing w:after="120" w:line="276"/>
      </w:pPr>
      <w:r>
        <w:rPr>
          <w:rFonts w:ascii="Calibri" w:cs="Calibri" w:eastAsia="Calibri" w:hAnsi="Calibri"/>
          <w:b/>
          <w:bCs/>
          <w:i w:val="false"/>
          <w:iCs w:val="false"/>
          <w:color w:val="262626"/>
          <w:sz w:val="21"/>
          <w:szCs w:val="21"/>
        </w:rPr>
        <w:t xml:space="preserve">Saudi software delivery teams cannot economically maintain a trustworthy link between written requirements and executed tests. As a result, QA capacity is consumed by clerical mapping work, coverage gaps go undetected until late, and traceability evidence produced for clients and auditors is assembled retrospectively rather than being a by-product of the work.</w:t>
      </w:r>
    </w:p>
    <w:p>
      <w:pPr>
        <w:pStyle w:val="Heading1"/>
        <w:pageBreakBefore/>
        <w:spacing w:after="160" w:before="360"/>
      </w:pPr>
      <w:r>
        <w:rPr>
          <w:rFonts w:ascii="Calibri" w:cs="Calibri" w:eastAsia="Calibri" w:hAnsi="Calibri"/>
          <w:b/>
          <w:bCs/>
          <w:color w:val="1F4E79"/>
          <w:sz w:val="30"/>
          <w:szCs w:val="30"/>
        </w:rPr>
        <w:t xml:space="preserve">4. Market and Opportunity</w:t>
      </w:r>
    </w:p>
    <w:p>
      <w:pPr>
        <w:pStyle w:val="Heading2"/>
        <w:spacing w:after="110" w:before="260"/>
      </w:pPr>
      <w:r>
        <w:rPr>
          <w:rFonts w:ascii="Calibri" w:cs="Calibri" w:eastAsia="Calibri" w:hAnsi="Calibri"/>
          <w:b/>
          <w:bCs/>
          <w:color w:val="2E75B6"/>
          <w:sz w:val="25"/>
          <w:szCs w:val="25"/>
        </w:rPr>
        <w:t xml:space="preserve">4.1 Market framing</w:t>
      </w:r>
    </w:p>
    <w:p>
      <w:pPr>
        <w:spacing w:after="120" w:line="276"/>
      </w:pPr>
      <w:r>
        <w:rPr>
          <w:rFonts w:ascii="Calibri" w:cs="Calibri" w:eastAsia="Calibri" w:hAnsi="Calibri"/>
          <w:b w:val="false"/>
          <w:bCs w:val="false"/>
          <w:i w:val="false"/>
          <w:iCs w:val="false"/>
          <w:color w:val="262626"/>
          <w:sz w:val="21"/>
          <w:szCs w:val="21"/>
        </w:rPr>
        <w:t xml:space="preserve">The global AI-assisted testing category is crowded and well funded. TADQEEQ does not compete for the general case. It competes in a segment defined by three conditions that global vendors do not serve well, and which frequently co-occur in the Saudi market:</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Arabic-language requirements. </w:t>
      </w:r>
      <w:r>
        <w:rPr>
          <w:rFonts w:ascii="Calibri" w:cs="Calibri" w:eastAsia="Calibri" w:hAnsi="Calibri"/>
          <w:b w:val="false"/>
          <w:bCs w:val="false"/>
          <w:i w:val="false"/>
          <w:iCs w:val="false"/>
          <w:color w:val="262626"/>
          <w:sz w:val="21"/>
          <w:szCs w:val="21"/>
        </w:rPr>
        <w:t xml:space="preserve">Formal scopes of work, BRDs and change requests for government work are commonly written in Arabic. Document parsers and LLM pipelines tuned for English degrade on Arabic layout, mixed-direction text and Arabic-numeral tables.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Traceability as a contractual obligation. </w:t>
      </w:r>
      <w:r>
        <w:rPr>
          <w:rFonts w:ascii="Calibri" w:cs="Calibri" w:eastAsia="Calibri" w:hAnsi="Calibri"/>
          <w:b w:val="false"/>
          <w:bCs w:val="false"/>
          <w:i w:val="false"/>
          <w:iCs w:val="false"/>
          <w:color w:val="262626"/>
          <w:sz w:val="21"/>
          <w:szCs w:val="21"/>
        </w:rPr>
        <w:t xml:space="preserve">Public-sector delivery contracts frequently require demonstrable coverage against the agreed scope. Traceability is an audit artefact, not an internal nicety.</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Data residency and deployment constraints. </w:t>
      </w:r>
      <w:r>
        <w:rPr>
          <w:rFonts w:ascii="Calibri" w:cs="Calibri" w:eastAsia="Calibri" w:hAnsi="Calibri"/>
          <w:b w:val="false"/>
          <w:bCs w:val="false"/>
          <w:i w:val="false"/>
          <w:iCs w:val="false"/>
          <w:color w:val="262626"/>
          <w:sz w:val="21"/>
          <w:szCs w:val="21"/>
        </w:rPr>
        <w:t xml:space="preserve">Under the Saudi Personal Data Protection Law and SDAIA guidance, many entities cannot send project artefacts to an overseas SaaS. An on-premise or in-Kingdom option is a qualification requirement, not a preference.</w:t>
      </w:r>
    </w:p>
    <w:p>
      <w:pPr>
        <w:pStyle w:val="Heading2"/>
        <w:spacing w:after="110" w:before="260"/>
      </w:pPr>
      <w:r>
        <w:rPr>
          <w:rFonts w:ascii="Calibri" w:cs="Calibri" w:eastAsia="Calibri" w:hAnsi="Calibri"/>
          <w:b/>
          <w:bCs/>
          <w:color w:val="2E75B6"/>
          <w:sz w:val="25"/>
          <w:szCs w:val="25"/>
        </w:rPr>
        <w:t xml:space="preserve">4.2 Segment sizing approach</w:t>
      </w:r>
    </w:p>
    <w:p>
      <w:pPr>
        <w:spacing w:after="120" w:line="276"/>
      </w:pPr>
      <w:r>
        <w:rPr>
          <w:rFonts w:ascii="Calibri" w:cs="Calibri" w:eastAsia="Calibri" w:hAnsi="Calibri"/>
          <w:b w:val="false"/>
          <w:bCs w:val="false"/>
          <w:i w:val="false"/>
          <w:iCs w:val="false"/>
          <w:color w:val="262626"/>
          <w:sz w:val="21"/>
          <w:szCs w:val="21"/>
        </w:rPr>
        <w:t xml:space="preserve">Rather than a top-down market figure, the MVP business case is built bottom-up from an addressable count the team can verify by name: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44"/>
        <w:gridCol w:w="1872"/>
        <w:gridCol w:w="3744"/>
      </w:tblGrid>
      <w:tr>
        <w:trPr>
          <w:tblHeader/>
        </w:trPr>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Segment</w:t>
            </w:r>
          </w:p>
        </w:tc>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Order of magnitude</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How to verify</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Saudi software houses delivering government projects</w:t>
            </w:r>
          </w:p>
        </w:tc>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Hundreds of firms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Etimad supplier listings; MCIT and Digital Government Authority vendor registers.</w:t>
            </w:r>
          </w:p>
        </w:tc>
      </w:tr>
      <w:tr>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Government and semi-government entities with internal QA functions</w:t>
            </w:r>
          </w:p>
        </w:tc>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Dozens of entities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outreach; entities with published digital platforms and internal IT departments.</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Funded Saudi startups with an engineering team but no dedicated QA</w:t>
            </w:r>
          </w:p>
        </w:tc>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Hundreds of companies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Monsha’at and local VC portfolio listings.</w:t>
            </w:r>
          </w:p>
        </w:tc>
      </w:tr>
    </w:tbl>
    <w:p>
      <w:pPr>
        <w:spacing w:after="120" w:line="276"/>
      </w:pPr>
      <w:r>
        <w:rPr>
          <w:rFonts w:ascii="Calibri" w:cs="Calibri" w:eastAsia="Calibri" w:hAnsi="Calibri"/>
          <w:b w:val="false"/>
          <w:bCs w:val="false"/>
          <w:i/>
          <w:iCs/>
          <w:color w:val="262626"/>
          <w:sz w:val="21"/>
          <w:szCs w:val="21"/>
        </w:rPr>
        <w:t xml:space="preserve">Action: before the MVP is built, the team must produce a named list of at least 40 qualified target accounts across these segments. A market that cannot be enumerated by name at this stage is not yet a validated market.</w:t>
      </w:r>
    </w:p>
    <w:p>
      <w:pPr>
        <w:pStyle w:val="Heading2"/>
        <w:spacing w:after="110" w:before="260"/>
      </w:pPr>
      <w:r>
        <w:rPr>
          <w:rFonts w:ascii="Calibri" w:cs="Calibri" w:eastAsia="Calibri" w:hAnsi="Calibri"/>
          <w:b/>
          <w:bCs/>
          <w:color w:val="2E75B6"/>
          <w:sz w:val="25"/>
          <w:szCs w:val="25"/>
        </w:rPr>
        <w:t xml:space="preserve">4.3 Target customers, in priority order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17"/>
        <w:gridCol w:w="2849"/>
        <w:gridCol w:w="3052"/>
        <w:gridCol w:w="2442"/>
      </w:tblGrid>
      <w:tr>
        <w:trPr>
          <w:tblHeader/>
        </w:trPr>
        <w:tc>
          <w:tcPr>
            <w:tcW w:type="dxa" w:w="101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Priority</w:t>
            </w:r>
          </w:p>
        </w:tc>
        <w:tc>
          <w:tcPr>
            <w:tcW w:type="dxa" w:w="284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Segment</w:t>
            </w:r>
          </w:p>
        </w:tc>
        <w:tc>
          <w:tcPr>
            <w:tcW w:type="dxa" w:w="305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they buy first</w:t>
            </w:r>
          </w:p>
        </w:tc>
        <w:tc>
          <w:tcPr>
            <w:tcW w:type="dxa" w:w="24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Buying characteristics</w:t>
            </w:r>
          </w:p>
        </w:tc>
      </w:tr>
      <w:tr>
        <w:tc>
          <w:tcPr>
            <w:tcW w:type="dxa" w:w="101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1</w:t>
            </w:r>
          </w:p>
        </w:tc>
        <w:tc>
          <w:tcPr>
            <w:tcW w:type="dxa" w:w="28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Saudi software houses executing government projects</w:t>
            </w:r>
          </w:p>
        </w:tc>
        <w:tc>
          <w:tcPr>
            <w:tcW w:type="dxa" w:w="305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They have formally written requirements and hard delivery deadlines. Traceability is contractually demanded of them. Recovered QA hours convert directly to margin.</w:t>
            </w:r>
          </w:p>
        </w:tc>
        <w:tc>
          <w:tcPr>
            <w:tcW w:type="dxa" w:w="24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Fast decision cycle; technical buyer; price-sensitive per seat; will pilot quickly.</w:t>
            </w:r>
          </w:p>
        </w:tc>
      </w:tr>
      <w:tr>
        <w:tc>
          <w:tcPr>
            <w:tcW w:type="dxa" w:w="10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w:t>
            </w:r>
          </w:p>
        </w:tc>
        <w:tc>
          <w:tcPr>
            <w:tcW w:type="dxa" w:w="28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 semi-government entities with large platforms and small QA teams</w:t>
            </w:r>
          </w:p>
        </w:tc>
        <w:tc>
          <w:tcPr>
            <w:tcW w:type="dxa" w:w="305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Capacity constrained, high audit exposure, budget available.</w:t>
            </w:r>
          </w:p>
        </w:tc>
        <w:tc>
          <w:tcPr>
            <w:tcW w:type="dxa" w:w="24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Long procurement cycle; on-premise mandatory; requires SLA, training, and local support.</w:t>
            </w:r>
          </w:p>
        </w:tc>
      </w:tr>
      <w:tr>
        <w:tc>
          <w:tcPr>
            <w:tcW w:type="dxa" w:w="101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3</w:t>
            </w:r>
          </w:p>
        </w:tc>
        <w:tc>
          <w:tcPr>
            <w:tcW w:type="dxa" w:w="28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Startups with no dedicated QA function</w:t>
            </w:r>
          </w:p>
        </w:tc>
        <w:tc>
          <w:tcPr>
            <w:tcW w:type="dxa" w:w="305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Developers test their own work; any structure is an improvement.</w:t>
            </w:r>
          </w:p>
        </w:tc>
        <w:tc>
          <w:tcPr>
            <w:tcW w:type="dxa" w:w="24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Self-serve, low price point, high churn risk; useful for volume and product feedback, not for early revenue.</w:t>
            </w:r>
          </w:p>
        </w:tc>
      </w:tr>
    </w:tbl>
    <w:p>
      <w:pPr>
        <w:pStyle w:val="Heading2"/>
        <w:spacing w:after="110" w:before="260"/>
      </w:pPr>
      <w:r>
        <w:rPr>
          <w:rFonts w:ascii="Calibri" w:cs="Calibri" w:eastAsia="Calibri" w:hAnsi="Calibri"/>
          <w:b/>
          <w:bCs/>
          <w:color w:val="2E75B6"/>
          <w:sz w:val="25"/>
          <w:szCs w:val="25"/>
        </w:rPr>
        <w:t xml:space="preserve">4.4 Personas</w:t>
      </w:r>
    </w:p>
    <w:p>
      <w:pPr>
        <w:pStyle w:val="Heading3"/>
        <w:spacing w:after="90" w:before="200"/>
      </w:pPr>
      <w:r>
        <w:rPr>
          <w:rFonts w:ascii="Calibri" w:cs="Calibri" w:eastAsia="Calibri" w:hAnsi="Calibri"/>
          <w:b/>
          <w:bCs/>
          <w:color w:val="404040"/>
          <w:sz w:val="22"/>
          <w:szCs w:val="22"/>
        </w:rPr>
        <w:t xml:space="preserve">Persona A — Nawaf, QA Lead at a 60-person software house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Manages three QA engineers across four concurrent government projects.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Receives Arabic scope documents and English technical specifications in the same project.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Success is measured on defects escaping to UAT and on hitting delivery milestones.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Buying trigger: </w:t>
      </w:r>
      <w:r>
        <w:rPr>
          <w:rFonts w:ascii="Calibri" w:cs="Calibri" w:eastAsia="Calibri" w:hAnsi="Calibri"/>
          <w:b w:val="false"/>
          <w:bCs w:val="false"/>
          <w:i w:val="false"/>
          <w:iCs w:val="false"/>
          <w:color w:val="262626"/>
          <w:sz w:val="21"/>
          <w:szCs w:val="21"/>
        </w:rPr>
        <w:t xml:space="preserve">a milestone where he was asked for a coverage matrix and had to build it manually over a weekend.</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Objection he will raise: </w:t>
      </w:r>
      <w:r>
        <w:rPr>
          <w:rFonts w:ascii="Calibri" w:cs="Calibri" w:eastAsia="Calibri" w:hAnsi="Calibri"/>
          <w:b w:val="false"/>
          <w:bCs w:val="false"/>
          <w:i w:val="false"/>
          <w:iCs w:val="false"/>
          <w:color w:val="262626"/>
          <w:sz w:val="21"/>
          <w:szCs w:val="21"/>
        </w:rPr>
        <w:t xml:space="preserve">"I do not trust generated test cases." The product must let him review, edit and approve every generated case before it counts.</w:t>
      </w:r>
    </w:p>
    <w:p>
      <w:pPr>
        <w:pStyle w:val="Heading3"/>
        <w:spacing w:after="90" w:before="200"/>
      </w:pPr>
      <w:r>
        <w:rPr>
          <w:rFonts w:ascii="Calibri" w:cs="Calibri" w:eastAsia="Calibri" w:hAnsi="Calibri"/>
          <w:b/>
          <w:bCs/>
          <w:color w:val="404040"/>
          <w:sz w:val="22"/>
          <w:szCs w:val="22"/>
        </w:rPr>
        <w:t xml:space="preserve">Persona B — Reem, Head of Quality at a government digital platform</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Answerable to internal audit for coverage evidence against approved requirements.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Cannot approve any tool that moves project documents outside the Kingdom.</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Buying trigger: </w:t>
      </w:r>
      <w:r>
        <w:rPr>
          <w:rFonts w:ascii="Calibri" w:cs="Calibri" w:eastAsia="Calibri" w:hAnsi="Calibri"/>
          <w:b w:val="false"/>
          <w:bCs w:val="false"/>
          <w:i w:val="false"/>
          <w:iCs w:val="false"/>
          <w:color w:val="262626"/>
          <w:sz w:val="21"/>
          <w:szCs w:val="21"/>
        </w:rPr>
        <w:t xml:space="preserve">an audit finding on incomplete test evidence.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Objection she will raise: </w:t>
      </w:r>
      <w:r>
        <w:rPr>
          <w:rFonts w:ascii="Calibri" w:cs="Calibri" w:eastAsia="Calibri" w:hAnsi="Calibri"/>
          <w:b w:val="false"/>
          <w:bCs w:val="false"/>
          <w:i w:val="false"/>
          <w:iCs w:val="false"/>
          <w:color w:val="262626"/>
          <w:sz w:val="21"/>
          <w:szCs w:val="21"/>
        </w:rPr>
        <w:t xml:space="preserve">deployment, data handling, and vendor viability. Requires on-premise, documented data flows, and a support commitment.</w:t>
      </w:r>
    </w:p>
    <w:p>
      <w:pPr>
        <w:pStyle w:val="Heading3"/>
        <w:spacing w:after="90" w:before="200"/>
      </w:pPr>
      <w:r>
        <w:rPr>
          <w:rFonts w:ascii="Calibri" w:cs="Calibri" w:eastAsia="Calibri" w:hAnsi="Calibri"/>
          <w:b/>
          <w:bCs/>
          <w:color w:val="404040"/>
          <w:sz w:val="22"/>
          <w:szCs w:val="22"/>
        </w:rPr>
        <w:t xml:space="preserve">Persona C — Abdullah, Tech Lead at a 12-person startup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 QA function; developers write tests when there is time, which there is not.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Has an OpenAPI specification because the backend framework generates one.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Buying trigger: </w:t>
      </w:r>
      <w:r>
        <w:rPr>
          <w:rFonts w:ascii="Calibri" w:cs="Calibri" w:eastAsia="Calibri" w:hAnsi="Calibri"/>
          <w:b w:val="false"/>
          <w:bCs w:val="false"/>
          <w:i w:val="false"/>
          <w:iCs w:val="false"/>
          <w:color w:val="262626"/>
          <w:sz w:val="21"/>
          <w:szCs w:val="21"/>
        </w:rPr>
        <w:t xml:space="preserve">a production incident traced to an untested endpoint.</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Objection he will raise: </w:t>
      </w:r>
      <w:r>
        <w:rPr>
          <w:rFonts w:ascii="Calibri" w:cs="Calibri" w:eastAsia="Calibri" w:hAnsi="Calibri"/>
          <w:b w:val="false"/>
          <w:bCs w:val="false"/>
          <w:i w:val="false"/>
          <w:iCs w:val="false"/>
          <w:color w:val="262626"/>
          <w:sz w:val="21"/>
          <w:szCs w:val="21"/>
        </w:rPr>
        <w:t xml:space="preserve">time to first value. If it takes more than fifteen minutes to a first passing suite, he will not return.</w:t>
      </w:r>
    </w:p>
    <w:p>
      <w:pPr>
        <w:pStyle w:val="Heading1"/>
        <w:pageBreakBefore/>
        <w:spacing w:after="160" w:before="360"/>
      </w:pPr>
      <w:r>
        <w:rPr>
          <w:rFonts w:ascii="Calibri" w:cs="Calibri" w:eastAsia="Calibri" w:hAnsi="Calibri"/>
          <w:b/>
          <w:bCs/>
          <w:color w:val="1F4E79"/>
          <w:sz w:val="30"/>
          <w:szCs w:val="30"/>
        </w:rPr>
        <w:t xml:space="preserve">5. Product Vision and Value Proposition</w:t>
      </w:r>
    </w:p>
    <w:p>
      <w:pPr>
        <w:pStyle w:val="Heading2"/>
        <w:spacing w:after="110" w:before="260"/>
      </w:pPr>
      <w:r>
        <w:rPr>
          <w:rFonts w:ascii="Calibri" w:cs="Calibri" w:eastAsia="Calibri" w:hAnsi="Calibri"/>
          <w:b/>
          <w:bCs/>
          <w:color w:val="2E75B6"/>
          <w:sz w:val="25"/>
          <w:szCs w:val="25"/>
        </w:rPr>
        <w:t xml:space="preserve">5.1 Vision statement</w:t>
      </w:r>
    </w:p>
    <w:p>
      <w:pPr>
        <w:spacing w:after="120" w:line="276"/>
      </w:pPr>
      <w:r>
        <w:rPr>
          <w:rFonts w:ascii="Calibri" w:cs="Calibri" w:eastAsia="Calibri" w:hAnsi="Calibri"/>
          <w:b w:val="false"/>
          <w:bCs w:val="false"/>
          <w:i/>
          <w:iCs/>
          <w:color w:val="262626"/>
          <w:sz w:val="21"/>
          <w:szCs w:val="21"/>
        </w:rPr>
        <w:t xml:space="preserve">Requirements and tests should be one connected artefact, not two documents maintained by hand. TADQEEQ makes the link between what was agreed and what was verified automatic, current, and provable — in Arabic as well as English.</w:t>
      </w:r>
    </w:p>
    <w:p>
      <w:pPr>
        <w:pStyle w:val="Heading2"/>
        <w:spacing w:after="110" w:before="260"/>
      </w:pPr>
      <w:r>
        <w:rPr>
          <w:rFonts w:ascii="Calibri" w:cs="Calibri" w:eastAsia="Calibri" w:hAnsi="Calibri"/>
          <w:b/>
          <w:bCs/>
          <w:color w:val="2E75B6"/>
          <w:sz w:val="25"/>
          <w:szCs w:val="25"/>
        </w:rPr>
        <w:t xml:space="preserve">5.2 Value proposition by persona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72"/>
        <w:gridCol w:w="3744"/>
        <w:gridCol w:w="3744"/>
      </w:tblGrid>
      <w:tr>
        <w:trPr>
          <w:tblHeader/>
        </w:trPr>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Persona</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Value delivered</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Measured as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Lead (software house)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case authoring time collapses; the coverage matrix is always current; changed requirements automatically flag affected tests.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Hours per release spent authoring and re-mapping; % requirements with at least one linked test.</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Head of Quality (government)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Audit-ready traceability evidence produced as a by-product of normal work, on infrastructure the entity controls.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Time to produce coverage evidence for an audit; audit findings on test evidence.</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Tech Lead (startup)</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working API regression suite from an OpenAPI file within minutes, with no test framework to learn.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Time from signup to first executed suite; endpoints covered.</w:t>
            </w:r>
          </w:p>
        </w:tc>
      </w:tr>
    </w:tbl>
    <w:p>
      <w:pPr>
        <w:pStyle w:val="Heading2"/>
        <w:spacing w:after="110" w:before="260"/>
      </w:pPr>
      <w:r>
        <w:rPr>
          <w:rFonts w:ascii="Calibri" w:cs="Calibri" w:eastAsia="Calibri" w:hAnsi="Calibri"/>
          <w:b/>
          <w:bCs/>
          <w:color w:val="2E75B6"/>
          <w:sz w:val="25"/>
          <w:szCs w:val="25"/>
        </w:rPr>
        <w:t xml:space="preserve">5.3 The differentiators, stated plainly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23"/>
        <w:gridCol w:w="2900"/>
        <w:gridCol w:w="5537"/>
      </w:tblGrid>
      <w:tr>
        <w:trPr>
          <w:tblHeader/>
        </w:trPr>
        <w:tc>
          <w:tcPr>
            <w:tcW w:type="dxa" w:w="92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t>
            </w:r>
          </w:p>
        </w:tc>
        <w:tc>
          <w:tcPr>
            <w:tcW w:type="dxa" w:w="29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Differentiator</w:t>
            </w:r>
          </w:p>
        </w:tc>
        <w:tc>
          <w:tcPr>
            <w:tcW w:type="dxa" w:w="55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a global competitor cannot easily copy it</w:t>
            </w:r>
          </w:p>
        </w:tc>
      </w:tr>
      <w:tr>
        <w:tc>
          <w:tcPr>
            <w:tcW w:type="dxa" w:w="92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D1</w:t>
            </w:r>
          </w:p>
        </w:tc>
        <w:tc>
          <w:tcPr>
            <w:tcW w:type="dxa" w:w="2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requirements ingestion</w:t>
            </w:r>
          </w:p>
        </w:tc>
        <w:tc>
          <w:tcPr>
            <w:tcW w:type="dxa" w:w="55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Requires investment in Arabic document layout handling, mixed-direction text, and domain vocabulary for a market that is a rounding error in a global vendor’s revenue.</w:t>
            </w:r>
          </w:p>
        </w:tc>
      </w:tr>
      <w:tr>
        <w:tc>
          <w:tcPr>
            <w:tcW w:type="dxa" w:w="92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D2</w:t>
            </w:r>
          </w:p>
        </w:tc>
        <w:tc>
          <w:tcPr>
            <w:tcW w:type="dxa" w:w="2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Requirement-to-test traceability as the core object</w:t>
            </w:r>
          </w:p>
        </w:tc>
        <w:tc>
          <w:tcPr>
            <w:tcW w:type="dxa" w:w="55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Competitors are architected around the application under test, not the requirement. Retrofitting a requirements model is a rebuild, not a feature.</w:t>
            </w:r>
          </w:p>
        </w:tc>
      </w:tr>
      <w:tr>
        <w:tc>
          <w:tcPr>
            <w:tcW w:type="dxa" w:w="92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D3</w:t>
            </w:r>
          </w:p>
        </w:tc>
        <w:tc>
          <w:tcPr>
            <w:tcW w:type="dxa" w:w="2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On-premise / in-Kingdom deployment</w:t>
            </w:r>
          </w:p>
        </w:tc>
        <w:tc>
          <w:tcPr>
            <w:tcW w:type="dxa" w:w="55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Global SaaS vendors are structurally reluctant to ship self-hosted builds and to support them per customer.</w:t>
            </w:r>
          </w:p>
        </w:tc>
      </w:tr>
      <w:tr>
        <w:tc>
          <w:tcPr>
            <w:tcW w:type="dxa" w:w="92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D4</w:t>
            </w:r>
          </w:p>
        </w:tc>
        <w:tc>
          <w:tcPr>
            <w:tcW w:type="dxa" w:w="2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Coverage-gap detection</w:t>
            </w:r>
          </w:p>
        </w:tc>
        <w:tc>
          <w:tcPr>
            <w:tcW w:type="dxa" w:w="55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Only possible when the system holds a structured model of the requirements — which follows from D2.</w:t>
            </w:r>
          </w:p>
        </w:tc>
      </w:tr>
      <w:tr>
        <w:tc>
          <w:tcPr>
            <w:tcW w:type="dxa" w:w="92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D5</w:t>
            </w:r>
          </w:p>
        </w:tc>
        <w:tc>
          <w:tcPr>
            <w:tcW w:type="dxa" w:w="2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RTL and localisation testing as a native concern (post-MVP)</w:t>
            </w:r>
          </w:p>
        </w:tc>
        <w:tc>
          <w:tcPr>
            <w:tcW w:type="dxa" w:w="553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Treated as an add-on elsewhere; here it is a design assumption.</w:t>
            </w:r>
          </w:p>
        </w:tc>
      </w:tr>
    </w:tbl>
    <w:p>
      <w:pPr>
        <w:pStyle w:val="Heading2"/>
        <w:spacing w:after="110" w:before="260"/>
      </w:pPr>
      <w:r>
        <w:rPr>
          <w:rFonts w:ascii="Calibri" w:cs="Calibri" w:eastAsia="Calibri" w:hAnsi="Calibri"/>
          <w:b/>
          <w:bCs/>
          <w:color w:val="2E75B6"/>
          <w:sz w:val="25"/>
          <w:szCs w:val="25"/>
        </w:rPr>
        <w:t xml:space="preserve">5.4 What TADQEEQ is deliberately not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Not a general-purpose test automation framework competing with Playwright or RestAssured. It generates and orchestrates; it does not replace the ecosystem.</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Not a test management system replacement in the MVP. It integrates with, rather than displaces, existing tooling in later phases.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Not an autonomous agent that ships tests without human review. Generated artefacts are proposals until a human approves them.</w:t>
      </w:r>
    </w:p>
    <w:p>
      <w:pPr>
        <w:pStyle w:val="Heading1"/>
        <w:pageBreakBefore/>
        <w:spacing w:after="160" w:before="360"/>
      </w:pPr>
      <w:r>
        <w:rPr>
          <w:rFonts w:ascii="Calibri" w:cs="Calibri" w:eastAsia="Calibri" w:hAnsi="Calibri"/>
          <w:b/>
          <w:bCs/>
          <w:color w:val="1F4E79"/>
          <w:sz w:val="30"/>
          <w:szCs w:val="30"/>
        </w:rPr>
        <w:t xml:space="preserve">6. Business Objectives and Success Metrics</w:t>
      </w:r>
    </w:p>
    <w:p>
      <w:pPr>
        <w:spacing w:after="120" w:line="276"/>
      </w:pPr>
      <w:r>
        <w:rPr>
          <w:rFonts w:ascii="Calibri" w:cs="Calibri" w:eastAsia="Calibri" w:hAnsi="Calibri"/>
          <w:b w:val="false"/>
          <w:bCs w:val="false"/>
          <w:i w:val="false"/>
          <w:iCs w:val="false"/>
          <w:color w:val="262626"/>
          <w:sz w:val="21"/>
          <w:szCs w:val="21"/>
        </w:rPr>
        <w:t xml:space="preserve">Each objective is stated with a measurable target for the pilot period (the twelve weeks following MVP availability). Targets are deliberately modest; the purpose of the MVP is learning, not revenue.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64"/>
        <w:gridCol w:w="3191"/>
        <w:gridCol w:w="3191"/>
        <w:gridCol w:w="1914"/>
      </w:tblGrid>
      <w:tr>
        <w:trPr>
          <w:tblHeader/>
        </w:trPr>
        <w:tc>
          <w:tcPr>
            <w:tcW w:type="dxa" w:w="106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31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Objective</w:t>
            </w:r>
          </w:p>
        </w:tc>
        <w:tc>
          <w:tcPr>
            <w:tcW w:type="dxa" w:w="31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Success metric</w:t>
            </w:r>
          </w:p>
        </w:tc>
        <w:tc>
          <w:tcPr>
            <w:tcW w:type="dxa" w:w="19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w:t>
            </w:r>
          </w:p>
        </w:tc>
      </w:tr>
      <w:tr>
        <w:tc>
          <w:tcPr>
            <w:tcW w:type="dxa" w:w="106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BO-01</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Prove the core time saving is real</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Median reduction in hours to produce an approved test suite for a given requirements document, versus the partner’s baseline</w:t>
            </w:r>
          </w:p>
        </w:tc>
        <w:tc>
          <w:tcPr>
            <w:tcW w:type="dxa" w:w="19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50% reduction</w:t>
            </w:r>
          </w:p>
        </w:tc>
      </w:tr>
      <w:tr>
        <w:tc>
          <w:tcPr>
            <w:tcW w:type="dxa" w:w="10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BO-02</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Prove generated quality is acceptable</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Share of generated test cases accepted by a QA reviewer with no edit or with minor edits only</w:t>
            </w:r>
          </w:p>
        </w:tc>
        <w:tc>
          <w:tcPr>
            <w:tcW w:type="dxa" w:w="19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70%</w:t>
            </w:r>
          </w:p>
        </w:tc>
      </w:tr>
      <w:tr>
        <w:tc>
          <w:tcPr>
            <w:tcW w:type="dxa" w:w="106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BO-03</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Prove traceability is valued</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Design partners who export or present the coverage matrix to a client or auditor during the pilot</w:t>
            </w:r>
          </w:p>
        </w:tc>
        <w:tc>
          <w:tcPr>
            <w:tcW w:type="dxa" w:w="19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2 of 3 partners</w:t>
            </w:r>
          </w:p>
        </w:tc>
      </w:tr>
      <w:tr>
        <w:tc>
          <w:tcPr>
            <w:tcW w:type="dxa" w:w="10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BO-04</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Prove the gap detection is differentiating</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Real, previously unknown coverage gaps surfaced in partner projects</w:t>
            </w:r>
          </w:p>
        </w:tc>
        <w:tc>
          <w:tcPr>
            <w:tcW w:type="dxa" w:w="19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5 confirmed gaps</w:t>
            </w:r>
          </w:p>
        </w:tc>
      </w:tr>
      <w:tr>
        <w:tc>
          <w:tcPr>
            <w:tcW w:type="dxa" w:w="106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BO-05</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Establish reference customers</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Signed case studies permitting use of the customer name</w:t>
            </w:r>
          </w:p>
        </w:tc>
        <w:tc>
          <w:tcPr>
            <w:tcW w:type="dxa" w:w="19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2 case studies</w:t>
            </w:r>
          </w:p>
        </w:tc>
      </w:tr>
      <w:tr>
        <w:tc>
          <w:tcPr>
            <w:tcW w:type="dxa" w:w="10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BO-06</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Validate willingness to pay</w:t>
            </w:r>
          </w:p>
        </w:tc>
        <w:tc>
          <w:tcPr>
            <w:tcW w:type="dxa" w:w="31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Design partners who commit in writing to a paid plan after the free pilot</w:t>
            </w:r>
          </w:p>
        </w:tc>
        <w:tc>
          <w:tcPr>
            <w:tcW w:type="dxa" w:w="19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 2 of 3 partners</w:t>
            </w:r>
          </w:p>
        </w:tc>
      </w:tr>
      <w:tr>
        <w:tc>
          <w:tcPr>
            <w:tcW w:type="dxa" w:w="106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BO-07</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Control technical trust risk</w:t>
            </w:r>
          </w:p>
        </w:tc>
        <w:tc>
          <w:tcPr>
            <w:tcW w:type="dxa" w:w="31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Executed test steps referencing an endpoint or parameter that does not exist in the discovered surface</w:t>
            </w:r>
          </w:p>
        </w:tc>
        <w:tc>
          <w:tcPr>
            <w:tcW w:type="dxa" w:w="19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0 (hard gate)</w:t>
            </w:r>
          </w:p>
        </w:tc>
      </w:tr>
    </w:tbl>
    <w:p>
      <w:pPr>
        <w:pStyle w:val="Heading2"/>
        <w:spacing w:after="110" w:before="260"/>
      </w:pPr>
      <w:r>
        <w:rPr>
          <w:rFonts w:ascii="Calibri" w:cs="Calibri" w:eastAsia="Calibri" w:hAnsi="Calibri"/>
          <w:b/>
          <w:bCs/>
          <w:color w:val="2E75B6"/>
          <w:sz w:val="25"/>
          <w:szCs w:val="25"/>
        </w:rPr>
        <w:t xml:space="preserve">6.1 Leading indicators to watch weekly during the pilot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Number of requirements documents uploaded per partner per week (engagement).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Ratio of generated to approved test cases (quality signal).</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Number of test runs per week (habit formation — the strongest retention predictor).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Time from project creation to first executed suite (activation friction).</w:t>
      </w:r>
    </w:p>
    <w:p>
      <w:pPr>
        <w:pStyle w:val="Heading1"/>
        <w:pageBreakBefore/>
        <w:spacing w:after="160" w:before="360"/>
      </w:pPr>
      <w:r>
        <w:rPr>
          <w:rFonts w:ascii="Calibri" w:cs="Calibri" w:eastAsia="Calibri" w:hAnsi="Calibri"/>
          <w:b/>
          <w:bCs/>
          <w:color w:val="1F4E79"/>
          <w:sz w:val="30"/>
          <w:szCs w:val="30"/>
        </w:rPr>
        <w:t xml:space="preserve">7. Business Requirements</w:t>
      </w:r>
    </w:p>
    <w:p>
      <w:pPr>
        <w:spacing w:after="120" w:line="276"/>
      </w:pPr>
      <w:r>
        <w:rPr>
          <w:rFonts w:ascii="Calibri" w:cs="Calibri" w:eastAsia="Calibri" w:hAnsi="Calibri"/>
          <w:b w:val="false"/>
          <w:bCs w:val="false"/>
          <w:i w:val="false"/>
          <w:iCs w:val="false"/>
          <w:color w:val="262626"/>
          <w:sz w:val="21"/>
          <w:szCs w:val="21"/>
        </w:rPr>
        <w:t xml:space="preserve">These are the business-level requirements the MVP must satisfy. Each is traced forward to functional requirements in the SRS. Priority uses MoSCoW: M = Must have for MVP, S = Should have, C = Could have, W = Won’t have this release.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15"/>
        <w:gridCol w:w="4285"/>
        <w:gridCol w:w="3383"/>
        <w:gridCol w:w="677"/>
      </w:tblGrid>
      <w:tr>
        <w:trPr>
          <w:tblHeader/>
        </w:trPr>
        <w:tc>
          <w:tcPr>
            <w:tcW w:type="dxa" w:w="101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42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Business requirement</w:t>
            </w:r>
          </w:p>
        </w:tc>
        <w:tc>
          <w:tcPr>
            <w:tcW w:type="dxa" w:w="338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Rationale / business owner</w:t>
            </w:r>
          </w:p>
        </w:tc>
        <w:tc>
          <w:tcPr>
            <w:tcW w:type="dxa" w:w="6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Pri</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BR-01</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accept a requirements document in common business formats and produce a structured, identified list of requirements without manual re-keying.</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Removes the first and largest manual step. Owner: Product.</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BR-02</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process Arabic-language requirements documents to the same standard as English ones.</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Primary differentiator D1; qualification requirement for the priority segment.</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BR-03</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discover the API surface of the system under test from a provided OpenAPI/Swagger specification.</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Grounds generation in reality; enables the fastest path to value for Persona C.</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BR-04</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generate test cases that are each explicitly linked to one or more identified requirements.</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link is the product. Owner: Product.</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BR-05</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apply recognised test design techniques (equivalence partitioning, boundary value analysis, decision tables) so that output is defensible to a professional QA reviewer.</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Credibility with Persona A, who will otherwise dismiss output as generic.</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BR-06</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human reviewer shall be able to review, edit, approve or reject every generated test case before it is treated as part of the suite.</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Directly answers the strongest expected objection.</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BR-07</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execute approved API test cases against a target environment and record pass/fail results with evidence.</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Without execution the product is a document generator, not a QA platform.</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BR-08</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maintain and display a traceability matrix mapping requirement to test case to latest result, and shall identify requirements with no linked test case.</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Differentiators D2 and D4; the artefact customers show to auditors.</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BR-09</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not generate test steps that reference endpoints, parameters or fields absent from the discovered API surface.</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Trust gate. A single fabricated endpoint in a demo loses the account.</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BR-10</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flag test cases whose linked requirement has changed since the test case was approved.</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Solves the "what broke when the requirement changed" problem named in section 3.1.</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BR-11</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export the traceability matrix and run results in a format usable in a client or audit deliverable.</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moment of visible value for Personas A and B.</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BR-12</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support role-based access so that project data is visible only to authorised members of the owning organisation.</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Minimum bar for any commercial pilot.</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BR-13</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be deployable in a customer-controlled environment without dependence on services outside the Kingdom.</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Differentiator D3; qualification requirement for segment 2. Architecturally provided for in the MVP, commercially offered from v3.</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BR-14</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record who approved which test case and when.</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Audit evidence; required by Persona B.</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BR-15</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discover the API surface by observing live traffic when no specification is available.</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Expands addressable projects materially, but is the largest single technical risk. Deferred to v1.</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w:t>
            </w:r>
          </w:p>
        </w:tc>
      </w:tr>
      <w:tr>
        <w:tc>
          <w:tcPr>
            <w:tcW w:type="dxa" w:w="101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BR-16</w:t>
            </w:r>
          </w:p>
        </w:tc>
        <w:tc>
          <w:tcPr>
            <w:tcW w:type="dxa" w:w="42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generate and execute UI functional tests.</w:t>
            </w:r>
          </w:p>
        </w:tc>
        <w:tc>
          <w:tcPr>
            <w:tcW w:type="dxa" w:w="33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 value, high fragility. Deliberately excluded from MVP per section 2.2.</w:t>
            </w:r>
          </w:p>
        </w:tc>
        <w:tc>
          <w:tcPr>
            <w:tcW w:type="dxa" w:w="6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w:t>
            </w:r>
          </w:p>
        </w:tc>
      </w:tr>
      <w:tr>
        <w:tc>
          <w:tcPr>
            <w:tcW w:type="dxa" w:w="101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BR-17</w:t>
            </w:r>
          </w:p>
        </w:tc>
        <w:tc>
          <w:tcPr>
            <w:tcW w:type="dxa" w:w="42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system shall integrate with Jira and Xray.</w:t>
            </w:r>
          </w:p>
        </w:tc>
        <w:tc>
          <w:tcPr>
            <w:tcW w:type="dxa" w:w="33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Strongly requested by segment 1; deferred to v2 to protect MVP timeline.</w:t>
            </w:r>
          </w:p>
        </w:tc>
        <w:tc>
          <w:tcPr>
            <w:tcW w:type="dxa" w:w="6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w:t>
            </w:r>
          </w:p>
        </w:tc>
      </w:tr>
    </w:tbl>
    <w:p>
      <w:pPr>
        <w:pStyle w:val="Heading1"/>
        <w:pageBreakBefore/>
        <w:spacing w:after="160" w:before="360"/>
      </w:pPr>
      <w:r>
        <w:rPr>
          <w:rFonts w:ascii="Calibri" w:cs="Calibri" w:eastAsia="Calibri" w:hAnsi="Calibri"/>
          <w:b/>
          <w:bCs/>
          <w:color w:val="1F4E79"/>
          <w:sz w:val="30"/>
          <w:szCs w:val="30"/>
        </w:rPr>
        <w:t xml:space="preserve">8. Scope</w:t>
      </w:r>
    </w:p>
    <w:p>
      <w:pPr>
        <w:pStyle w:val="Heading2"/>
        <w:spacing w:after="110" w:before="260"/>
      </w:pPr>
      <w:r>
        <w:rPr>
          <w:rFonts w:ascii="Calibri" w:cs="Calibri" w:eastAsia="Calibri" w:hAnsi="Calibri"/>
          <w:b/>
          <w:bCs/>
          <w:color w:val="2E75B6"/>
          <w:sz w:val="25"/>
          <w:szCs w:val="25"/>
        </w:rPr>
        <w:t xml:space="preserve">8.1 In scope for the MVP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9"/>
        <w:gridCol w:w="6151"/>
      </w:tblGrid>
      <w:tr>
        <w:trPr>
          <w:tblHeader/>
        </w:trPr>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Area</w:t>
            </w:r>
          </w:p>
        </w:tc>
        <w:tc>
          <w:tcPr>
            <w:tcW w:type="dxa" w:w="615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Included</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ingestion</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PDF, DOCX and Markdown upload; automated extraction of requirement ID, description, acceptance criteria, type and priority; Arabic and English; human correction of extracted requirements.</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discovery</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Import of an OpenAPI 3.x or Swagger 2.0 specification, by file upload or URL, producing a structured endpoint inventory.</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generation</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 of API test cases bound to requirements, applying equivalence partitioning, boundary value analysis and decision-table techniques, constrained to the discovered endpoint inventory.</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Human review</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 queue with accept, edit, reject and bulk actions; approval audit trail.</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of approved API tests against a configured environment, with authentication handling, assertions on status code, response schema, response time and specified business rules.</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and reporting</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Live requirement-to-test-to-result matrix; coverage gap list; per-run report with request, response and failure detail; export to Excel and PDF.</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Platform</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Multi-tenant SaaS with organisations, projects, users and roles; audit logging.</w:t>
            </w:r>
          </w:p>
        </w:tc>
      </w:tr>
    </w:tbl>
    <w:p>
      <w:pPr>
        <w:pStyle w:val="Heading2"/>
        <w:spacing w:after="110" w:before="260"/>
      </w:pPr>
      <w:r>
        <w:rPr>
          <w:rFonts w:ascii="Calibri" w:cs="Calibri" w:eastAsia="Calibri" w:hAnsi="Calibri"/>
          <w:b/>
          <w:bCs/>
          <w:color w:val="2E75B6"/>
          <w:sz w:val="25"/>
          <w:szCs w:val="25"/>
        </w:rPr>
        <w:t xml:space="preserve">8.2 Explicitly out of scope for the MVP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44"/>
        <w:gridCol w:w="5616"/>
      </w:tblGrid>
      <w:tr>
        <w:trPr>
          <w:tblHeader/>
        </w:trPr>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Excluded</w:t>
            </w:r>
          </w:p>
        </w:tc>
        <w:tc>
          <w:tcPr>
            <w:tcW w:type="dxa" w:w="561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Rationale and target phase</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test generation and execution</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Materially more fragile and expensive to stabilise; a common cause of failure in comparable products. Target: v1.</w:t>
            </w:r>
          </w:p>
        </w:tc>
      </w:tr>
      <w:tr>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Traffic-based API discovery without a specification</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Highest technical uncertainty in the concept. Target: v1, after the core loop is proven.</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Self-healing selectors</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Depends on UI testing existing. Target: v2.</w:t>
            </w:r>
          </w:p>
        </w:tc>
      </w:tr>
      <w:tr>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CI/CD pipeline integration</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Valuable but not required to prove the core hypothesis. Target: v2.</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Jira / Xray integration</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Requested by customers; deferred to protect the MVP timeline. Target: v2.</w:t>
            </w:r>
          </w:p>
        </w:tc>
      </w:tr>
      <w:tr>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RTL, localisation and accessibility testing</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Strategic differentiator but dependent on UI execution. Target: v3.</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On-premise packaged distribution</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Architecture must permit it from day one; the packaged, supported offering follows. Target: v3.</w:t>
            </w:r>
          </w:p>
        </w:tc>
      </w:tr>
      <w:tr>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Performance and security testing</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Different product category. Not on the current roadmap.</w:t>
            </w:r>
          </w:p>
        </w:tc>
      </w:tr>
      <w:tr>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Confluence and other live requirement sources</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File upload covers the pilot need. Target: v2.</w:t>
            </w:r>
          </w:p>
        </w:tc>
      </w:tr>
    </w:tbl>
    <w:p>
      <w:pPr>
        <w:pStyle w:val="Heading2"/>
        <w:spacing w:after="110" w:before="260"/>
      </w:pPr>
      <w:r>
        <w:rPr>
          <w:rFonts w:ascii="Calibri" w:cs="Calibri" w:eastAsia="Calibri" w:hAnsi="Calibri"/>
          <w:b/>
          <w:bCs/>
          <w:color w:val="2E75B6"/>
          <w:sz w:val="25"/>
          <w:szCs w:val="25"/>
        </w:rPr>
        <w:t xml:space="preserve">8.3 Scope change control</w:t>
      </w:r>
    </w:p>
    <w:p>
      <w:pPr>
        <w:spacing w:after="120" w:line="276"/>
      </w:pPr>
      <w:r>
        <w:rPr>
          <w:rFonts w:ascii="Calibri" w:cs="Calibri" w:eastAsia="Calibri" w:hAnsi="Calibri"/>
          <w:b w:val="false"/>
          <w:bCs w:val="false"/>
          <w:i w:val="false"/>
          <w:iCs w:val="false"/>
          <w:color w:val="262626"/>
          <w:sz w:val="21"/>
          <w:szCs w:val="21"/>
        </w:rPr>
        <w:t xml:space="preserve">Any addition to MVP scope must be recorded as a new BR-xx, assigned a business owner, and either replace an existing Must-have or move the MVP date. Undocumented scope growth is the primary schedule risk for a product of this shape.</w:t>
      </w:r>
    </w:p>
    <w:p>
      <w:pPr>
        <w:pStyle w:val="Heading1"/>
        <w:pageBreakBefore/>
        <w:spacing w:after="160" w:before="360"/>
      </w:pPr>
      <w:r>
        <w:rPr>
          <w:rFonts w:ascii="Calibri" w:cs="Calibri" w:eastAsia="Calibri" w:hAnsi="Calibri"/>
          <w:b/>
          <w:bCs/>
          <w:color w:val="1F4E79"/>
          <w:sz w:val="30"/>
          <w:szCs w:val="30"/>
        </w:rPr>
        <w:t xml:space="preserve">9. Commercial Model</w:t>
      </w:r>
    </w:p>
    <w:p>
      <w:pPr>
        <w:pStyle w:val="Heading2"/>
        <w:spacing w:after="110" w:before="260"/>
      </w:pPr>
      <w:r>
        <w:rPr>
          <w:rFonts w:ascii="Calibri" w:cs="Calibri" w:eastAsia="Calibri" w:hAnsi="Calibri"/>
          <w:b/>
          <w:bCs/>
          <w:color w:val="2E75B6"/>
          <w:sz w:val="25"/>
          <w:szCs w:val="25"/>
        </w:rPr>
        <w:t xml:space="preserve">9.1 Packaging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38"/>
        <w:gridCol w:w="2340"/>
        <w:gridCol w:w="3510"/>
        <w:gridCol w:w="1872"/>
      </w:tblGrid>
      <w:tr>
        <w:trPr>
          <w:tblHeader/>
        </w:trPr>
        <w:tc>
          <w:tcPr>
            <w:tcW w:type="dxa" w:w="163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Plan</w:t>
            </w:r>
          </w:p>
        </w:tc>
        <w:tc>
          <w:tcPr>
            <w:tcW w:type="dxa" w:w="23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 buyer</w:t>
            </w:r>
          </w:p>
        </w:tc>
        <w:tc>
          <w:tcPr>
            <w:tcW w:type="dxa" w:w="35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Included</w:t>
            </w:r>
          </w:p>
        </w:tc>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Pricing basis</w:t>
            </w:r>
          </w:p>
        </w:tc>
      </w:tr>
      <w:tr>
        <w:tc>
          <w:tcPr>
            <w:tcW w:type="dxa" w:w="163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w:t>
            </w:r>
          </w:p>
        </w:tc>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Evaluation, Persona C</w:t>
            </w:r>
          </w:p>
        </w:tc>
        <w:tc>
          <w:tcPr>
            <w:tcW w:type="dxa" w:w="35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project, one requirements document, capped at 50 generated test cases, API testing only, community support.</w:t>
            </w:r>
          </w:p>
        </w:tc>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w:t>
            </w:r>
          </w:p>
        </w:tc>
      </w:tr>
      <w:tr>
        <w:tc>
          <w:tcPr>
            <w:tcW w:type="dxa" w:w="163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w:t>
            </w:r>
          </w:p>
        </w:tc>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Small team / startup</w:t>
            </w:r>
          </w:p>
        </w:tc>
        <w:tc>
          <w:tcPr>
            <w:tcW w:type="dxa" w:w="35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Unlimited projects, generation and execution caps by volume, Excel and PDF export, email support.</w:t>
            </w:r>
          </w:p>
        </w:tc>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 user, per month</w:t>
            </w:r>
          </w:p>
        </w:tc>
      </w:tr>
      <w:tr>
        <w:tc>
          <w:tcPr>
            <w:tcW w:type="dxa" w:w="163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Team</w:t>
            </w:r>
          </w:p>
        </w:tc>
        <w:tc>
          <w:tcPr>
            <w:tcW w:type="dxa" w:w="23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house (segment 1)</w:t>
            </w:r>
          </w:p>
        </w:tc>
        <w:tc>
          <w:tcPr>
            <w:tcW w:type="dxa" w:w="35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Everything in Pro, plus higher volume limits, role-based permissions, audit trail, and (from v2) CI/CD and Jira integration.</w:t>
            </w:r>
          </w:p>
        </w:tc>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 user, per month, with a floor of five seats</w:t>
            </w:r>
          </w:p>
        </w:tc>
      </w:tr>
      <w:tr>
        <w:tc>
          <w:tcPr>
            <w:tcW w:type="dxa" w:w="163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w:t>
            </w:r>
          </w:p>
        </w:tc>
        <w:tc>
          <w:tcPr>
            <w:tcW w:type="dxa" w:w="23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 semi-government (segment 2)</w:t>
            </w:r>
          </w:p>
        </w:tc>
        <w:tc>
          <w:tcPr>
            <w:tcW w:type="dxa" w:w="35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Everything in Team, plus on-premise or in-Kingdom deployment, SLA, onboarding and training, named support contact.</w:t>
            </w:r>
          </w:p>
        </w:tc>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Annual contract, priced per deployment</w:t>
            </w:r>
          </w:p>
        </w:tc>
      </w:tr>
    </w:tbl>
    <w:p>
      <w:pPr>
        <w:spacing w:after="120" w:line="276"/>
      </w:pPr>
      <w:r>
        <w:rPr>
          <w:rFonts w:ascii="Calibri" w:cs="Calibri" w:eastAsia="Calibri" w:hAnsi="Calibri"/>
          <w:b w:val="false"/>
          <w:bCs w:val="false"/>
          <w:i/>
          <w:iCs/>
          <w:color w:val="262626"/>
          <w:sz w:val="21"/>
          <w:szCs w:val="21"/>
        </w:rPr>
        <w:t xml:space="preserve">Specific price points are deliberately not fixed in this baseline. They are to be set after the pilot, informed by BO-06 and by the measured hours saved per team (BO-01). Anchoring on a monthly figure before the value is measured tends to undervalue an audit-critical product sold to government.</w:t>
      </w:r>
    </w:p>
    <w:p>
      <w:pPr>
        <w:pStyle w:val="Heading2"/>
        <w:spacing w:after="110" w:before="260"/>
      </w:pPr>
      <w:r>
        <w:rPr>
          <w:rFonts w:ascii="Calibri" w:cs="Calibri" w:eastAsia="Calibri" w:hAnsi="Calibri"/>
          <w:b/>
          <w:bCs/>
          <w:color w:val="2E75B6"/>
          <w:sz w:val="25"/>
          <w:szCs w:val="25"/>
        </w:rPr>
        <w:t xml:space="preserve">9.2 Pricing principles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Price against QA hours recovered, not against competitor list prices. The comparison the buyer makes is to a salary, not to a SaaS subscription.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Keep the Free tier genuinely useful but volume-capped, so it demonstrates the traceability matrix rather than merely the generation step.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Do not meter on test executions in the MVP; unpredictable bills discourage exactly the habitual usage the product needs to establish.</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Enterprise pricing is a deployment-and-support contract, not a seat count. Treat it as a distinct motion with a distinct cost base.</w:t>
      </w:r>
    </w:p>
    <w:p>
      <w:pPr>
        <w:pStyle w:val="Heading2"/>
        <w:spacing w:after="110" w:before="260"/>
      </w:pPr>
      <w:r>
        <w:rPr>
          <w:rFonts w:ascii="Calibri" w:cs="Calibri" w:eastAsia="Calibri" w:hAnsi="Calibri"/>
          <w:b/>
          <w:bCs/>
          <w:color w:val="2E75B6"/>
          <w:sz w:val="25"/>
          <w:szCs w:val="25"/>
        </w:rPr>
        <w:t xml:space="preserve">9.3 Cost drivers to monitor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477"/>
        <w:gridCol w:w="5883"/>
      </w:tblGrid>
      <w:tr>
        <w:trPr>
          <w:tblHeader/>
        </w:trPr>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Driver</w:t>
            </w:r>
          </w:p>
        </w:tc>
        <w:tc>
          <w:tcPr>
            <w:tcW w:type="dxa" w:w="588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Note</w:t>
            </w:r>
          </w:p>
        </w:tc>
      </w:tr>
      <w:tr>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LLM inference cost per document</w:t>
            </w:r>
          </w:p>
        </w:tc>
        <w:tc>
          <w:tcPr>
            <w:tcW w:type="dxa" w:w="58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Scales with document length; the dominant variable cost. Must be measured per project during the pilot and bounded per plan.</w:t>
            </w:r>
          </w:p>
        </w:tc>
      </w:tr>
      <w:tr>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execution compute</w:t>
            </w:r>
          </w:p>
        </w:tc>
        <w:tc>
          <w:tcPr>
            <w:tcW w:type="dxa" w:w="588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Isolated containers per run; low per-run cost but grows with habitual usage. Monitor concurrency, not volume.</w:t>
            </w:r>
          </w:p>
        </w:tc>
      </w:tr>
      <w:tr>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Support cost for on-premise customers</w:t>
            </w:r>
          </w:p>
        </w:tc>
        <w:tc>
          <w:tcPr>
            <w:tcW w:type="dxa" w:w="588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Historically the item that erodes margin in this segment. Price it explicitly rather than absorbing it.</w:t>
            </w:r>
          </w:p>
        </w:tc>
      </w:tr>
    </w:tbl>
    <w:p>
      <w:pPr>
        <w:pStyle w:val="Heading1"/>
        <w:pageBreakBefore/>
        <w:spacing w:after="160" w:before="360"/>
      </w:pPr>
      <w:r>
        <w:rPr>
          <w:rFonts w:ascii="Calibri" w:cs="Calibri" w:eastAsia="Calibri" w:hAnsi="Calibri"/>
          <w:b/>
          <w:bCs/>
          <w:color w:val="1F4E79"/>
          <w:sz w:val="30"/>
          <w:szCs w:val="30"/>
        </w:rPr>
        <w:t xml:space="preserve">10. Go-to-Market Plan</w:t>
      </w:r>
    </w:p>
    <w:p>
      <w:pPr>
        <w:pStyle w:val="Heading2"/>
        <w:spacing w:after="110" w:before="260"/>
      </w:pPr>
      <w:r>
        <w:rPr>
          <w:rFonts w:ascii="Calibri" w:cs="Calibri" w:eastAsia="Calibri" w:hAnsi="Calibri"/>
          <w:b/>
          <w:bCs/>
          <w:color w:val="2E75B6"/>
          <w:sz w:val="25"/>
          <w:szCs w:val="25"/>
        </w:rPr>
        <w:t xml:space="preserve">10.1 Sequencing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60"/>
        <w:gridCol w:w="2860"/>
        <w:gridCol w:w="4940"/>
      </w:tblGrid>
      <w:tr>
        <w:trPr>
          <w:tblHeader/>
        </w:trPr>
        <w:tc>
          <w:tcPr>
            <w:tcW w:type="dxa" w:w="156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Phase</w:t>
            </w:r>
          </w:p>
        </w:tc>
        <w:tc>
          <w:tcPr>
            <w:tcW w:type="dxa" w:w="286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Focus</w:t>
            </w:r>
          </w:p>
        </w:tc>
        <w:tc>
          <w:tcPr>
            <w:tcW w:type="dxa" w:w="49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Activity</w:t>
            </w:r>
          </w:p>
        </w:tc>
      </w:tr>
      <w:tr>
        <w:tc>
          <w:tcPr>
            <w:tcW w:type="dxa" w:w="15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Phase 0 — now, before build</w:t>
            </w:r>
          </w:p>
        </w:tc>
        <w:tc>
          <w:tcPr>
            <w:tcW w:type="dxa" w:w="28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Validation</w:t>
            </w:r>
          </w:p>
        </w:tc>
        <w:tc>
          <w:tcPr>
            <w:tcW w:type="dxa" w:w="49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Present the concept to at least three QA teams known personally. Confirm the problem statement and the section 3.2 cost estimates. Do not write production code until at least two confirm.</w:t>
            </w:r>
          </w:p>
        </w:tc>
      </w:tr>
      <w:tr>
        <w:tc>
          <w:tcPr>
            <w:tcW w:type="dxa" w:w="15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Phase 1 — MVP pilot</w:t>
            </w:r>
          </w:p>
        </w:tc>
        <w:tc>
          <w:tcPr>
            <w:tcW w:type="dxa" w:w="28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Proof</w:t>
            </w:r>
          </w:p>
        </w:tc>
        <w:tc>
          <w:tcPr>
            <w:tcW w:type="dxa" w:w="49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Three design partners use the product free for twelve weeks in exchange for structured feedback, measured baselines, and the right to use their name in a case study.</w:t>
            </w:r>
          </w:p>
        </w:tc>
      </w:tr>
      <w:tr>
        <w:tc>
          <w:tcPr>
            <w:tcW w:type="dxa" w:w="15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Phase 2 — reference selling</w:t>
            </w:r>
          </w:p>
        </w:tc>
        <w:tc>
          <w:tcPr>
            <w:tcW w:type="dxa" w:w="28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First revenue</w:t>
            </w:r>
          </w:p>
        </w:tc>
        <w:tc>
          <w:tcPr>
            <w:tcW w:type="dxa" w:w="49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Convert pilots to paid. Use case studies to open segment 1 accounts. Direct founder-led sales; no channel yet.</w:t>
            </w:r>
          </w:p>
        </w:tc>
      </w:tr>
      <w:tr>
        <w:tc>
          <w:tcPr>
            <w:tcW w:type="dxa" w:w="15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Phase 3 — segment 2 entry</w:t>
            </w:r>
          </w:p>
        </w:tc>
        <w:tc>
          <w:tcPr>
            <w:tcW w:type="dxa" w:w="28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Contract value</w:t>
            </w:r>
          </w:p>
        </w:tc>
        <w:tc>
          <w:tcPr>
            <w:tcW w:type="dxa" w:w="49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Approach government entities with the on-premise offering, a completed security questionnaire, and named references from Phase 2.</w:t>
            </w:r>
          </w:p>
        </w:tc>
      </w:tr>
    </w:tbl>
    <w:p>
      <w:pPr>
        <w:pStyle w:val="Heading2"/>
        <w:spacing w:after="110" w:before="260"/>
      </w:pPr>
      <w:r>
        <w:rPr>
          <w:rFonts w:ascii="Calibri" w:cs="Calibri" w:eastAsia="Calibri" w:hAnsi="Calibri"/>
          <w:b/>
          <w:bCs/>
          <w:color w:val="2E75B6"/>
          <w:sz w:val="25"/>
          <w:szCs w:val="25"/>
        </w:rPr>
        <w:t xml:space="preserve">10.2 Design partner agreement — what each side gives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129"/>
        <w:gridCol w:w="5231"/>
      </w:tblGrid>
      <w:tr>
        <w:trPr>
          <w:tblHeader/>
        </w:trPr>
        <w:tc>
          <w:tcPr>
            <w:tcW w:type="dxa" w:w="41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TADQEEQ provides</w:t>
            </w:r>
          </w:p>
        </w:tc>
        <w:tc>
          <w:tcPr>
            <w:tcW w:type="dxa" w:w="523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The partner provides</w:t>
            </w:r>
          </w:p>
        </w:tc>
      </w:tr>
      <w:tr>
        <w:tc>
          <w:tcPr>
            <w:tcW w:type="dxa" w:w="41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 use of the platform for the pilot period, with no seat limit.</w:t>
            </w:r>
          </w:p>
        </w:tc>
        <w:tc>
          <w:tcPr>
            <w:tcW w:type="dxa" w:w="523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named QA lead as the single point of contact, available for a 30-minute weekly session.</w:t>
            </w:r>
          </w:p>
        </w:tc>
      </w:tr>
      <w:tr>
        <w:tc>
          <w:tcPr>
            <w:tcW w:type="dxa" w:w="41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access to the product owner and priority on defects.</w:t>
            </w:r>
          </w:p>
        </w:tc>
        <w:tc>
          <w:tcPr>
            <w:tcW w:type="dxa" w:w="523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real project with a real requirements document — not a sample.</w:t>
            </w:r>
          </w:p>
        </w:tc>
      </w:tr>
      <w:tr>
        <w:tc>
          <w:tcPr>
            <w:tcW w:type="dxa" w:w="41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Onboarding and configuration support.</w:t>
            </w:r>
          </w:p>
        </w:tc>
        <w:tc>
          <w:tcPr>
            <w:tcW w:type="dxa" w:w="523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measured baseline: hours currently spent authoring test cases for a comparable document.</w:t>
            </w:r>
          </w:p>
        </w:tc>
      </w:tr>
      <w:tr>
        <w:tc>
          <w:tcPr>
            <w:tcW w:type="dxa" w:w="41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 use for six months after general availability.</w:t>
            </w:r>
          </w:p>
        </w:tc>
        <w:tc>
          <w:tcPr>
            <w:tcW w:type="dxa" w:w="523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Written permission to publish an anonymised, then named, case study.</w:t>
            </w:r>
          </w:p>
        </w:tc>
      </w:tr>
    </w:tbl>
    <w:p>
      <w:pPr>
        <w:spacing w:after="120" w:line="276"/>
      </w:pPr>
      <w:r>
        <w:rPr>
          <w:rFonts w:ascii="Calibri" w:cs="Calibri" w:eastAsia="Calibri" w:hAnsi="Calibri"/>
          <w:b w:val="false"/>
          <w:bCs w:val="false"/>
          <w:i w:val="false"/>
          <w:iCs w:val="false"/>
          <w:color w:val="262626"/>
          <w:sz w:val="21"/>
          <w:szCs w:val="21"/>
        </w:rPr>
        <w:t xml:space="preserve">In this market a named reference from a peer software house carries more weight than any advertising spend. The case study right is the most valuable term in this agreement.</w:t>
      </w:r>
    </w:p>
    <w:p>
      <w:pPr>
        <w:pStyle w:val="Heading2"/>
        <w:spacing w:after="110" w:before="260"/>
      </w:pPr>
      <w:r>
        <w:rPr>
          <w:rFonts w:ascii="Calibri" w:cs="Calibri" w:eastAsia="Calibri" w:hAnsi="Calibri"/>
          <w:b/>
          <w:bCs/>
          <w:color w:val="2E75B6"/>
          <w:sz w:val="25"/>
          <w:szCs w:val="25"/>
        </w:rPr>
        <w:t xml:space="preserve">10.3 Positioning statement</w:t>
      </w:r>
    </w:p>
    <w:p>
      <w:pPr>
        <w:spacing w:after="120" w:line="276"/>
      </w:pPr>
      <w:r>
        <w:rPr>
          <w:rFonts w:ascii="Calibri" w:cs="Calibri" w:eastAsia="Calibri" w:hAnsi="Calibri"/>
          <w:b w:val="false"/>
          <w:bCs w:val="false"/>
          <w:i/>
          <w:iCs/>
          <w:color w:val="262626"/>
          <w:sz w:val="21"/>
          <w:szCs w:val="21"/>
        </w:rPr>
        <w:t xml:space="preserve">For QA leads and quality managers in Saudi software teams who must prove that every agreed requirement has been tested, TADQEEQ is a test design and traceability platform that turns a requirements document — in Arabic or English — into an executable, requirement-linked API test suite. Unlike global AI testing tools, which start from the application and assume English and public cloud, TADQEEQ starts from the requirement and can run inside the customer’s own environment.</w:t>
      </w:r>
    </w:p>
    <w:p>
      <w:pPr>
        <w:pStyle w:val="Heading2"/>
        <w:spacing w:after="110" w:before="260"/>
      </w:pPr>
      <w:r>
        <w:rPr>
          <w:rFonts w:ascii="Calibri" w:cs="Calibri" w:eastAsia="Calibri" w:hAnsi="Calibri"/>
          <w:b/>
          <w:bCs/>
          <w:color w:val="2E75B6"/>
          <w:sz w:val="25"/>
          <w:szCs w:val="25"/>
        </w:rPr>
        <w:t xml:space="preserve">10.4 Channels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Founder-led direct outreach</w:t>
      </w:r>
      <w:r>
        <w:rPr>
          <w:rFonts w:ascii="Calibri" w:cs="Calibri" w:eastAsia="Calibri" w:hAnsi="Calibri"/>
          <w:b w:val="false"/>
          <w:bCs w:val="false"/>
          <w:i w:val="false"/>
          <w:iCs w:val="false"/>
          <w:color w:val="262626"/>
          <w:sz w:val="21"/>
          <w:szCs w:val="21"/>
        </w:rPr>
        <w:t xml:space="preserve"> to named accounts from the section 4.2 list. Primary channel for the first year.</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Practitioner content</w:t>
      </w:r>
      <w:r>
        <w:rPr>
          <w:rFonts w:ascii="Calibri" w:cs="Calibri" w:eastAsia="Calibri" w:hAnsi="Calibri"/>
          <w:b w:val="false"/>
          <w:bCs w:val="false"/>
          <w:i w:val="false"/>
          <w:iCs w:val="false"/>
          <w:color w:val="262626"/>
          <w:sz w:val="21"/>
          <w:szCs w:val="21"/>
        </w:rPr>
        <w:t xml:space="preserve"> in Arabic on traceability and test design — a segment with very little quality local material, which builds credibility with Persona A cheaply.</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Local QA and software-quality communities</w:t>
      </w:r>
      <w:r>
        <w:rPr>
          <w:rFonts w:ascii="Calibri" w:cs="Calibri" w:eastAsia="Calibri" w:hAnsi="Calibri"/>
          <w:b w:val="false"/>
          <w:bCs w:val="false"/>
          <w:i w:val="false"/>
          <w:iCs w:val="false"/>
          <w:color w:val="262626"/>
          <w:sz w:val="21"/>
          <w:szCs w:val="21"/>
        </w:rPr>
        <w:t xml:space="preserve"> and events; small audiences, but high concentration of buyers.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System integrator partnerships</w:t>
      </w:r>
      <w:r>
        <w:rPr>
          <w:rFonts w:ascii="Calibri" w:cs="Calibri" w:eastAsia="Calibri" w:hAnsi="Calibri"/>
          <w:b w:val="false"/>
          <w:bCs w:val="false"/>
          <w:i w:val="false"/>
          <w:iCs w:val="false"/>
          <w:color w:val="262626"/>
          <w:sz w:val="21"/>
          <w:szCs w:val="21"/>
        </w:rPr>
        <w:t xml:space="preserve"> as a later route into government procurement, once references exist.</w:t>
      </w:r>
    </w:p>
    <w:p>
      <w:pPr>
        <w:pStyle w:val="Heading1"/>
        <w:pageBreakBefore/>
        <w:spacing w:after="160" w:before="360"/>
      </w:pPr>
      <w:r>
        <w:rPr>
          <w:rFonts w:ascii="Calibri" w:cs="Calibri" w:eastAsia="Calibri" w:hAnsi="Calibri"/>
          <w:b/>
          <w:bCs/>
          <w:color w:val="1F4E79"/>
          <w:sz w:val="30"/>
          <w:szCs w:val="30"/>
        </w:rPr>
        <w:t xml:space="preserve">11. Regulatory, Compliance and Data Considerations</w:t>
      </w:r>
    </w:p>
    <w:p>
      <w:pPr>
        <w:spacing w:after="120" w:line="276"/>
      </w:pPr>
      <w:r>
        <w:rPr>
          <w:rFonts w:ascii="Calibri" w:cs="Calibri" w:eastAsia="Calibri" w:hAnsi="Calibri"/>
          <w:b w:val="false"/>
          <w:bCs w:val="false"/>
          <w:i w:val="false"/>
          <w:iCs w:val="false"/>
          <w:color w:val="262626"/>
          <w:sz w:val="21"/>
          <w:szCs w:val="21"/>
        </w:rPr>
        <w:t xml:space="preserve">These constraints are business requirements, not technical preferences, because they determine whether a deal is possible at all in segment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42"/>
        <w:gridCol w:w="6418"/>
      </w:tblGrid>
      <w:tr>
        <w:trPr>
          <w:tblHeader/>
        </w:trPr>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Consideration</w:t>
            </w:r>
          </w:p>
        </w:tc>
        <w:tc>
          <w:tcPr>
            <w:tcW w:type="dxa" w:w="64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Business implication</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Saudi Personal Data Protection Law (PDPL) and SDAIA guidance</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 requirements documents and API traffic may contain personal data. Cross-border transfer is restricted. The product must be able to run entirely within customer-controlled or in-Kingdom infrastructure, and must document its data flows before any government sale.</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Third-party LLM processing</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Sending customer requirements to an external model provider is unacceptable to some buyers. The architecture must abstract the model provider so that a locally hosted model can be substituted (see TRD). Commercially, this must be answerable in a security questionnaire.</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 credentials for test environments</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platform stores credentials for systems under test. This raises the security bar materially and must be addressed explicitly in sales conversations, not deferred.</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Data retention and deletion</w:t>
            </w:r>
          </w:p>
        </w:tc>
        <w:tc>
          <w:tcPr>
            <w:tcW w:type="dxa" w:w="64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Customers will ask what happens to their documents and results on termination. A stated retention and deletion policy is required before the first paid contract.</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Intellectual property in generated artefacts</w:t>
            </w:r>
          </w:p>
        </w:tc>
        <w:tc>
          <w:tcPr>
            <w:tcW w:type="dxa" w:w="64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Contracts must state clearly that generated test cases belong to the customer.</w:t>
            </w:r>
          </w:p>
        </w:tc>
      </w:tr>
    </w:tbl>
    <w:p>
      <w:pPr>
        <w:spacing w:after="120" w:line="276"/>
      </w:pPr>
      <w:r>
        <w:rPr>
          <w:rFonts w:ascii="Calibri" w:cs="Calibri" w:eastAsia="Calibri" w:hAnsi="Calibri"/>
          <w:b w:val="false"/>
          <w:bCs w:val="false"/>
          <w:i/>
          <w:iCs/>
          <w:color w:val="262626"/>
          <w:sz w:val="21"/>
          <w:szCs w:val="21"/>
        </w:rPr>
        <w:t xml:space="preserve">None of these require legal completion before the pilot, but all require a written answer before the first government proposal. Treat the security questionnaire as a product deliverable with a due date.</w:t>
      </w:r>
    </w:p>
    <w:p>
      <w:pPr>
        <w:pStyle w:val="Heading1"/>
        <w:pageBreakBefore/>
        <w:spacing w:after="160" w:before="360"/>
      </w:pPr>
      <w:r>
        <w:rPr>
          <w:rFonts w:ascii="Calibri" w:cs="Calibri" w:eastAsia="Calibri" w:hAnsi="Calibri"/>
          <w:b/>
          <w:bCs/>
          <w:color w:val="1F4E79"/>
          <w:sz w:val="30"/>
          <w:szCs w:val="30"/>
        </w:rPr>
        <w:t xml:space="preserve">12. Risks and Mitigations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871"/>
        <w:gridCol w:w="3265"/>
        <w:gridCol w:w="980"/>
        <w:gridCol w:w="980"/>
        <w:gridCol w:w="3264"/>
      </w:tblGrid>
      <w:tr>
        <w:trPr>
          <w:tblHeader/>
        </w:trPr>
        <w:tc>
          <w:tcPr>
            <w:tcW w:type="dxa" w:w="8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326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Risk</w:t>
            </w:r>
          </w:p>
        </w:tc>
        <w:tc>
          <w:tcPr>
            <w:tcW w:type="dxa" w:w="98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Prob.</w:t>
            </w:r>
          </w:p>
        </w:tc>
        <w:tc>
          <w:tcPr>
            <w:tcW w:type="dxa" w:w="98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Impact</w:t>
            </w:r>
          </w:p>
        </w:tc>
        <w:tc>
          <w:tcPr>
            <w:tcW w:type="dxa" w:w="326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Mitigation</w:t>
            </w:r>
          </w:p>
        </w:tc>
      </w:tr>
      <w:tr>
        <w:tc>
          <w:tcPr>
            <w:tcW w:type="dxa" w:w="8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R-01</w:t>
            </w:r>
          </w:p>
        </w:tc>
        <w:tc>
          <w:tcPr>
            <w:tcW w:type="dxa" w:w="3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Six months of development completed with no real user, producing a product that solves an imagined problem.</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Critical</w:t>
            </w:r>
          </w:p>
        </w:tc>
        <w:tc>
          <w:tcPr>
            <w:tcW w:type="dxa" w:w="32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Phase 0 is a gate: no production code until at least two QA teams confirm the problem statement. Design partners are recruited before the build starts, not after.</w:t>
            </w:r>
          </w:p>
        </w:tc>
      </w:tr>
      <w:tr>
        <w:tc>
          <w:tcPr>
            <w:tcW w:type="dxa" w:w="8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R-02</w:t>
            </w:r>
          </w:p>
        </w:tc>
        <w:tc>
          <w:tcPr>
            <w:tcW w:type="dxa" w:w="3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LLM fabricates endpoints, parameters or acceptance criteria, destroying credibility on first demonstration.</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Critical</w:t>
            </w:r>
          </w:p>
        </w:tc>
        <w:tc>
          <w:tcPr>
            <w:tcW w:type="dxa" w:w="32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BR-09: generation is constrained to the discovered inventory; all model output is schema-validated and every referenced identifier is checked against the inventory before a case is persisted. Violations are dropped, not shown.</w:t>
            </w:r>
          </w:p>
        </w:tc>
      </w:tr>
      <w:tr>
        <w:tc>
          <w:tcPr>
            <w:tcW w:type="dxa" w:w="8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R-03</w:t>
            </w:r>
          </w:p>
        </w:tc>
        <w:tc>
          <w:tcPr>
            <w:tcW w:type="dxa" w:w="3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Scope creep into UI testing before the API loop is proven.</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32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BR-16 marks UI as Won’t-have. Section 8.3 requires a formal trade for any addition.</w:t>
            </w:r>
          </w:p>
        </w:tc>
      </w:tr>
      <w:tr>
        <w:tc>
          <w:tcPr>
            <w:tcW w:type="dxa" w:w="8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R-04</w:t>
            </w:r>
          </w:p>
        </w:tc>
        <w:tc>
          <w:tcPr>
            <w:tcW w:type="dxa" w:w="3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Arabic document parsing quality proves materially worse than English, undermining the core differentiator.</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32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Test against real partner documents in Phase 0, before build. If quality is inadequate, this is discovered at week two rather than week twenty.</w:t>
            </w:r>
          </w:p>
        </w:tc>
      </w:tr>
      <w:tr>
        <w:tc>
          <w:tcPr>
            <w:tcW w:type="dxa" w:w="8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R-05</w:t>
            </w:r>
          </w:p>
        </w:tc>
        <w:tc>
          <w:tcPr>
            <w:tcW w:type="dxa" w:w="3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Generated test cases are technically valid but too shallow to interest an experienced QA lead.</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32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BR-05 mandates formal design techniques. BO-02 measures reviewer acceptance as an explicit gate.</w:t>
            </w:r>
          </w:p>
        </w:tc>
      </w:tr>
      <w:tr>
        <w:tc>
          <w:tcPr>
            <w:tcW w:type="dxa" w:w="8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R-06</w:t>
            </w:r>
          </w:p>
        </w:tc>
        <w:tc>
          <w:tcPr>
            <w:tcW w:type="dxa" w:w="3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Government sales cycles are far longer than the runway allows.</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32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Sequence segment 1 first for revenue; treat segment 2 as a later, reference-backed motion (section 10.1).</w:t>
            </w:r>
          </w:p>
        </w:tc>
      </w:tr>
      <w:tr>
        <w:tc>
          <w:tcPr>
            <w:tcW w:type="dxa" w:w="8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R-07</w:t>
            </w:r>
          </w:p>
        </w:tc>
        <w:tc>
          <w:tcPr>
            <w:tcW w:type="dxa" w:w="3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LLM inference cost per document exceeds the price the market will pay.</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32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Measure cost per project during the pilot; cache and reuse parsed artefacts; bound volumes per plan; keep the provider abstraction so cheaper models can be substituted.</w:t>
            </w:r>
          </w:p>
        </w:tc>
      </w:tr>
      <w:tr>
        <w:tc>
          <w:tcPr>
            <w:tcW w:type="dxa" w:w="8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R-08</w:t>
            </w:r>
          </w:p>
        </w:tc>
        <w:tc>
          <w:tcPr>
            <w:tcW w:type="dxa" w:w="3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global vendor adds Arabic support and requirement traceability.</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Low</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32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deployment and support model (D3) is the more durable moat than language alone. Build local reference density quickly.</w:t>
            </w:r>
          </w:p>
        </w:tc>
      </w:tr>
      <w:tr>
        <w:tc>
          <w:tcPr>
            <w:tcW w:type="dxa" w:w="8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R-09</w:t>
            </w:r>
          </w:p>
        </w:tc>
        <w:tc>
          <w:tcPr>
            <w:tcW w:type="dxa" w:w="326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security incident involving stored customer test credentials.</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Low</w:t>
            </w:r>
          </w:p>
        </w:tc>
        <w:tc>
          <w:tcPr>
            <w:tcW w:type="dxa" w:w="9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Critical</w:t>
            </w:r>
          </w:p>
        </w:tc>
        <w:tc>
          <w:tcPr>
            <w:tcW w:type="dxa" w:w="32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Treat credential handling as a first-class design concern in the TRD; encrypt at rest with per-tenant keys; never log secrets; make this answerable in the security questionnaire.</w:t>
            </w:r>
          </w:p>
        </w:tc>
      </w:tr>
      <w:tr>
        <w:tc>
          <w:tcPr>
            <w:tcW w:type="dxa" w:w="8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R-10</w:t>
            </w:r>
          </w:p>
        </w:tc>
        <w:tc>
          <w:tcPr>
            <w:tcW w:type="dxa" w:w="326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Key-person dependency on a single founder holding domain, product and sales knowledge.</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High</w:t>
            </w:r>
          </w:p>
        </w:tc>
        <w:tc>
          <w:tcPr>
            <w:tcW w:type="dxa" w:w="9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Medium</w:t>
            </w:r>
          </w:p>
        </w:tc>
        <w:tc>
          <w:tcPr>
            <w:tcW w:type="dxa" w:w="32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Document decisions in this BRD/SRS/TRD set; bring in a technical lead before the v1 build.</w:t>
            </w:r>
          </w:p>
        </w:tc>
      </w:tr>
    </w:tbl>
    <w:p>
      <w:pPr>
        <w:pStyle w:val="Heading1"/>
        <w:pageBreakBefore/>
        <w:spacing w:after="160" w:before="360"/>
      </w:pPr>
      <w:r>
        <w:rPr>
          <w:rFonts w:ascii="Calibri" w:cs="Calibri" w:eastAsia="Calibri" w:hAnsi="Calibri"/>
          <w:b/>
          <w:bCs/>
          <w:color w:val="1F4E79"/>
          <w:sz w:val="30"/>
          <w:szCs w:val="30"/>
        </w:rPr>
        <w:t xml:space="preserve">13. Assumptions, Constraints and Dependencies</w:t>
      </w:r>
    </w:p>
    <w:p>
      <w:pPr>
        <w:pStyle w:val="Heading2"/>
        <w:spacing w:after="110" w:before="260"/>
      </w:pPr>
      <w:r>
        <w:rPr>
          <w:rFonts w:ascii="Calibri" w:cs="Calibri" w:eastAsia="Calibri" w:hAnsi="Calibri"/>
          <w:b/>
          <w:bCs/>
          <w:color w:val="2E75B6"/>
          <w:sz w:val="25"/>
          <w:szCs w:val="25"/>
        </w:rPr>
        <w:t xml:space="preserve">13.1 Assumptions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Target customers hold requirements in written documents of reasonable structure, not solely in verbal agreements or ticket comments.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 meaningful share of target projects either have an OpenAPI specification or can produce one — this determines MVP addressability and must be verified in Phase 0.</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QA leads will accept generated test cases as a starting point provided they retain review authority.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Current-generation language models can extract structured requirements from Arabic business documents at a quality acceptable to a reviewer. This assumption is tested in Phase 0.</w:t>
      </w:r>
    </w:p>
    <w:p>
      <w:pPr>
        <w:pStyle w:val="Heading2"/>
        <w:spacing w:after="110" w:before="260"/>
      </w:pPr>
      <w:r>
        <w:rPr>
          <w:rFonts w:ascii="Calibri" w:cs="Calibri" w:eastAsia="Calibri" w:hAnsi="Calibri"/>
          <w:b/>
          <w:bCs/>
          <w:color w:val="2E75B6"/>
          <w:sz w:val="25"/>
          <w:szCs w:val="25"/>
        </w:rPr>
        <w:t xml:space="preserve">13.2 Constraints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MVP delivery window of six to eight weeks with a small team.</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 dependency may be introduced that cannot run inside a customer-controlled environment, as this would foreclose BR-13.</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product must be usable by a QA engineer without programming skills; anything requiring code authoring falls outside the MVP user model.</w:t>
      </w:r>
    </w:p>
    <w:p>
      <w:pPr>
        <w:pStyle w:val="Heading2"/>
        <w:spacing w:after="110" w:before="260"/>
      </w:pPr>
      <w:r>
        <w:rPr>
          <w:rFonts w:ascii="Calibri" w:cs="Calibri" w:eastAsia="Calibri" w:hAnsi="Calibri"/>
          <w:b/>
          <w:bCs/>
          <w:color w:val="2E75B6"/>
          <w:sz w:val="25"/>
          <w:szCs w:val="25"/>
        </w:rPr>
        <w:t xml:space="preserve">13.3 Dependencies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Availability of a commercial LLM API, behind an abstraction layer permitting substitution.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Three design partners committed before build start.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At least one partner project with both a requirements document and an OpenAPI specification, for end-to-end validation.</w:t>
      </w:r>
    </w:p>
    <w:p>
      <w:pPr>
        <w:pStyle w:val="Heading1"/>
        <w:pageBreakBefore/>
        <w:spacing w:after="160" w:before="360"/>
      </w:pPr>
      <w:r>
        <w:rPr>
          <w:rFonts w:ascii="Calibri" w:cs="Calibri" w:eastAsia="Calibri" w:hAnsi="Calibri"/>
          <w:b/>
          <w:bCs/>
          <w:color w:val="1F4E79"/>
          <w:sz w:val="30"/>
          <w:szCs w:val="30"/>
        </w:rPr>
        <w:t xml:space="preserve">14. Indicative Roadmap</w:t>
      </w:r>
    </w:p>
    <w:p>
      <w:pPr>
        <w:spacing w:after="120" w:line="276"/>
      </w:pPr>
      <w:r>
        <w:rPr>
          <w:rFonts w:ascii="Calibri" w:cs="Calibri" w:eastAsia="Calibri" w:hAnsi="Calibri"/>
          <w:b w:val="false"/>
          <w:bCs w:val="false"/>
          <w:i w:val="false"/>
          <w:iCs w:val="false"/>
          <w:color w:val="262626"/>
          <w:sz w:val="21"/>
          <w:szCs w:val="21"/>
        </w:rPr>
        <w:t xml:space="preserve">Durations are indicative and assume a small dedicated team. Only the MVP is committed scope in this baseline.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71"/>
        <w:gridCol w:w="1618"/>
        <w:gridCol w:w="3467"/>
        <w:gridCol w:w="3004"/>
      </w:tblGrid>
      <w:tr>
        <w:trPr>
          <w:tblHeader/>
        </w:trPr>
        <w:tc>
          <w:tcPr>
            <w:tcW w:type="dxa" w:w="12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Phase</w:t>
            </w:r>
          </w:p>
        </w:tc>
        <w:tc>
          <w:tcPr>
            <w:tcW w:type="dxa" w:w="161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Duration</w:t>
            </w:r>
          </w:p>
        </w:tc>
        <w:tc>
          <w:tcPr>
            <w:tcW w:type="dxa" w:w="346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Delivered capability</w:t>
            </w:r>
          </w:p>
        </w:tc>
        <w:tc>
          <w:tcPr>
            <w:tcW w:type="dxa" w:w="300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Business objective served</w:t>
            </w:r>
          </w:p>
        </w:tc>
      </w:tr>
      <w:tr>
        <w:tc>
          <w:tcPr>
            <w:tcW w:type="dxa" w:w="12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MVP</w:t>
            </w:r>
          </w:p>
        </w:tc>
        <w:tc>
          <w:tcPr>
            <w:tcW w:type="dxa" w:w="16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6–8 weeks</w:t>
            </w:r>
          </w:p>
        </w:tc>
        <w:tc>
          <w:tcPr>
            <w:tcW w:type="dxa" w:w="346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testing from an OpenAPI specification; Arabic and English requirements ingestion; requirement-linked generation with human review; execution; traceability matrix and coverage gaps; export.</w:t>
            </w:r>
          </w:p>
        </w:tc>
        <w:tc>
          <w:tcPr>
            <w:tcW w:type="dxa" w:w="30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BO-01 to BO-07</w:t>
            </w:r>
          </w:p>
        </w:tc>
      </w:tr>
      <w:tr>
        <w:tc>
          <w:tcPr>
            <w:tcW w:type="dxa" w:w="12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v1</w:t>
            </w:r>
          </w:p>
        </w:tc>
        <w:tc>
          <w:tcPr>
            <w:tcW w:type="dxa" w:w="16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+6 weeks</w:t>
            </w:r>
          </w:p>
        </w:tc>
        <w:tc>
          <w:tcPr>
            <w:tcW w:type="dxa" w:w="34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discovery from observed traffic where no specification exists; UI functional testing.</w:t>
            </w:r>
          </w:p>
        </w:tc>
        <w:tc>
          <w:tcPr>
            <w:tcW w:type="dxa" w:w="30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Expands addressable projects; unlocks segment 3 and legacy platforms.</w:t>
            </w:r>
          </w:p>
        </w:tc>
      </w:tr>
      <w:tr>
        <w:tc>
          <w:tcPr>
            <w:tcW w:type="dxa" w:w="12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w:t>
            </w:r>
          </w:p>
        </w:tc>
        <w:tc>
          <w:tcPr>
            <w:tcW w:type="dxa" w:w="161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+8 weeks</w:t>
            </w:r>
          </w:p>
        </w:tc>
        <w:tc>
          <w:tcPr>
            <w:tcW w:type="dxa" w:w="346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Self-healing selectors; CI/CD integration; Jira and Xray integration.</w:t>
            </w:r>
          </w:p>
        </w:tc>
        <w:tc>
          <w:tcPr>
            <w:tcW w:type="dxa" w:w="30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Embeds the product in the daily workflow; raises retention and seat expansion.</w:t>
            </w:r>
          </w:p>
        </w:tc>
      </w:tr>
      <w:tr>
        <w:tc>
          <w:tcPr>
            <w:tcW w:type="dxa" w:w="12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v3</w:t>
            </w:r>
          </w:p>
        </w:tc>
        <w:tc>
          <w:tcPr>
            <w:tcW w:type="dxa" w:w="161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Later</w:t>
            </w:r>
          </w:p>
        </w:tc>
        <w:tc>
          <w:tcPr>
            <w:tcW w:type="dxa" w:w="34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RTL and localisation testing; accessibility checks; packaged on-premise distribution with SLA.</w:t>
            </w:r>
          </w:p>
        </w:tc>
        <w:tc>
          <w:tcPr>
            <w:tcW w:type="dxa" w:w="30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Opens segment 2 at contract value; completes differentiator set D3 and D5.</w:t>
            </w:r>
          </w:p>
        </w:tc>
      </w:tr>
    </w:tbl>
    <w:p>
      <w:pPr>
        <w:pStyle w:val="Heading1"/>
        <w:pageBreakBefore/>
        <w:spacing w:after="160" w:before="360"/>
      </w:pPr>
      <w:r>
        <w:rPr>
          <w:rFonts w:ascii="Calibri" w:cs="Calibri" w:eastAsia="Calibri" w:hAnsi="Calibri"/>
          <w:b/>
          <w:bCs/>
          <w:color w:val="1F4E79"/>
          <w:sz w:val="30"/>
          <w:szCs w:val="30"/>
        </w:rPr>
        <w:t xml:space="preserve">15. Traceability — Business Requirement to SRS</w:t>
      </w:r>
    </w:p>
    <w:p>
      <w:pPr>
        <w:spacing w:after="120" w:line="276"/>
      </w:pPr>
      <w:r>
        <w:rPr>
          <w:rFonts w:ascii="Calibri" w:cs="Calibri" w:eastAsia="Calibri" w:hAnsi="Calibri"/>
          <w:b w:val="false"/>
          <w:bCs w:val="false"/>
          <w:i w:val="false"/>
          <w:iCs w:val="false"/>
          <w:color w:val="262626"/>
          <w:sz w:val="21"/>
          <w:szCs w:val="21"/>
        </w:rPr>
        <w:t xml:space="preserve">Forward traceability from this document into the SRS. Each SRS functional requirement must cite at least one BR-xx; each Must-have BR-xx must be covered by at least one functional requirement. Requirement identifiers below correspond to the SRS section 4 groupings.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00"/>
        <w:gridCol w:w="4160"/>
        <w:gridCol w:w="3900"/>
      </w:tblGrid>
      <w:tr>
        <w:trPr>
          <w:tblHeader/>
        </w:trPr>
        <w:tc>
          <w:tcPr>
            <w:tcW w:type="dxa" w:w="13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BR ID</w:t>
            </w:r>
          </w:p>
        </w:tc>
        <w:tc>
          <w:tcPr>
            <w:tcW w:type="dxa" w:w="416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Business requirement (abbreviated)</w:t>
            </w:r>
          </w:p>
        </w:tc>
        <w:tc>
          <w:tcPr>
            <w:tcW w:type="dxa" w:w="39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SRS functional requirements</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BR-01</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Ingest requirements documents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FR-REQ-01 … FR-REQ-06</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BR-02</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Arabic-language support</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FR-REQ-03, FR-REQ-07, NFR-USE-03</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BR-03</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 API surface from specification</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FR-DSC-01 … FR-DSC-05</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BR-04</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Requirement-linked test generation</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FR-GEN-01, FR-GEN-02, FR-GEN-07</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BR-05</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Formal test design techniques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FR-GEN-03, FR-GEN-04, FR-GEN-05</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BR-06</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Human review and approval</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FR-REV-01 … FR-REV-05</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BR-07</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Execute approved tests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FR-EXE-01 … FR-EXE-08</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BR-08</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matrix and coverage gaps</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FR-TRC-01 … FR-TRC-05</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BR-09</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fabricated endpoints or fields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FR-GEN-06, NFR-REL-04</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BR-10</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Flag tests affected by changed requirements</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FR-TRC-04, FR-REQ-06</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BR-11</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Export traceability and results</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FR-RPT-04, FR-RPT-05</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BR-12</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Role-based access control</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FR-USR-01 … FR-USR-05</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BR-13</w:t>
            </w:r>
          </w:p>
        </w:tc>
        <w:tc>
          <w:tcPr>
            <w:tcW w:type="dxa" w:w="41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Customer-controlled deployment</w:t>
            </w:r>
          </w:p>
        </w:tc>
        <w:tc>
          <w:tcPr>
            <w:tcW w:type="dxa" w:w="3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NFR-POR-01, NFR-POR-02, NFR-SEC-06</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BR-14</w:t>
            </w:r>
          </w:p>
        </w:tc>
        <w:tc>
          <w:tcPr>
            <w:tcW w:type="dxa" w:w="41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Approval audit trail</w:t>
            </w:r>
          </w:p>
        </w:tc>
        <w:tc>
          <w:tcPr>
            <w:tcW w:type="dxa" w:w="3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FR-REV-05, FR-USR-06</w:t>
            </w:r>
          </w:p>
        </w:tc>
      </w:tr>
    </w:tbl>
    <w:p>
      <w:pPr>
        <w:pStyle w:val="Heading1"/>
        <w:pageBreakBefore/>
        <w:spacing w:after="160" w:before="360"/>
      </w:pPr>
      <w:r>
        <w:rPr>
          <w:rFonts w:ascii="Calibri" w:cs="Calibri" w:eastAsia="Calibri" w:hAnsi="Calibri"/>
          <w:b/>
          <w:bCs/>
          <w:color w:val="1F4E79"/>
          <w:sz w:val="30"/>
          <w:szCs w:val="30"/>
        </w:rPr>
        <w:t xml:space="preserve">16. Glossary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6"/>
        <w:gridCol w:w="7054"/>
      </w:tblGrid>
      <w:tr>
        <w:trPr>
          <w:tblHeader/>
        </w:trPr>
        <w:tc>
          <w:tcPr>
            <w:tcW w:type="dxa" w:w="23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Term</w:t>
            </w:r>
          </w:p>
        </w:tc>
        <w:tc>
          <w:tcPr>
            <w:tcW w:type="dxa" w:w="7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Definition</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Acceptance criteria</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conditions stated in a requirement that must hold for it to be considered satisfied. The primary input to test case generation.</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BVA (Boundary Value Analysis)</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test design technique that selects values at and immediately around the edges of an input partition, where defects concentrate.</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Coverage gap</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requirement with no approved test case linked to it. Surfacing these is a core product differentiator.</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Decision table</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test design technique that enumerates combinations of conditions and their expected outcomes; used for requirements with compound business rules.</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Design partner</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early customer using the product free of charge in exchange for structured feedback and reference rights.</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EP (Equivalence Partitioning)</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test design technique that divides an input domain into classes expected to behave identically, testing one representative per class.</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MoSCoW</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Prioritisation scheme: Must have, Should have, Could have, Won’t have this release.</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OpenAPI / Swagger</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machine-readable specification of an HTTP API. The MVP’s source of the endpoint inventory.</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PDPL</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Saudi Personal Data Protection Law, governing processing and cross-border transfer of personal data.</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RTL</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Right-to-left text direction, as used in Arabic; a distinct source of user-interface defects.</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SDAIA</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Saudi Data and Artificial Intelligence Authority, the regulator responsible for PDPL.</w:t>
            </w:r>
          </w:p>
        </w:tc>
      </w:tr>
      <w:tr>
        <w:tc>
          <w:tcPr>
            <w:tcW w:type="dxa" w:w="23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System under test (SUT)</w:t>
            </w:r>
          </w:p>
        </w:tc>
        <w:tc>
          <w:tcPr>
            <w:tcW w:type="dxa" w:w="7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customer application that TADQEEQ discovers and executes tests against.</w:t>
            </w:r>
          </w:p>
        </w:tc>
      </w:tr>
      <w:tr>
        <w:tc>
          <w:tcPr>
            <w:tcW w:type="dxa" w:w="23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Traceability matrix</w:t>
            </w:r>
          </w:p>
        </w:tc>
        <w:tc>
          <w:tcPr>
            <w:tcW w:type="dxa" w:w="7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mapping from each requirement to the test cases verifying it and to the latest result of those tests.</w:t>
            </w:r>
          </w:p>
        </w:tc>
      </w:tr>
    </w:tbl>
    <w:p>
      <w:pPr>
        <w:pStyle w:val="Heading1"/>
        <w:pageBreakBefore/>
        <w:spacing w:after="160" w:before="360"/>
      </w:pPr>
      <w:r>
        <w:rPr>
          <w:rFonts w:ascii="Calibri" w:cs="Calibri" w:eastAsia="Calibri" w:hAnsi="Calibri"/>
          <w:b/>
          <w:bCs/>
          <w:color w:val="1F4E79"/>
          <w:sz w:val="30"/>
          <w:szCs w:val="30"/>
        </w:rPr>
        <w:t xml:space="preserve">17. Open Questions</w:t>
      </w:r>
    </w:p>
    <w:p>
      <w:pPr>
        <w:spacing w:after="120" w:line="276"/>
      </w:pPr>
      <w:r>
        <w:rPr>
          <w:rFonts w:ascii="Calibri" w:cs="Calibri" w:eastAsia="Calibri" w:hAnsi="Calibri"/>
          <w:b w:val="false"/>
          <w:bCs w:val="false"/>
          <w:i w:val="false"/>
          <w:iCs w:val="false"/>
          <w:color w:val="262626"/>
          <w:sz w:val="21"/>
          <w:szCs w:val="21"/>
        </w:rPr>
        <w:t xml:space="preserve">These must be closed during Phase 0. Each has a named owner and a decision date; none should be allowed to remain open at build start.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349"/>
        <w:gridCol w:w="2941"/>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34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Question</w:t>
            </w:r>
          </w:p>
        </w:tc>
        <w:tc>
          <w:tcPr>
            <w:tcW w:type="dxa" w:w="29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Owner / how it will be answered</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Q-01</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What share of target projects actually have an OpenAPI specification? If it is low, MVP addressability is materially smaller than assumed.</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 survey the 40-account list and the three design partners.</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Q-02</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Are the section 3.2 time estimates accurate for real teams, or is the founder’s experience atypical?</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 baseline measurement with design partners before build.</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Q-03</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What quality do current models achieve on real Arabic scope-of-work documents, as opposed to clean samples?</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Lead — parse three real partner documents and have a QA lead score the extraction.</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Q-04</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Will buyers accept a cloud-hosted pilot, or is on-premise required even to evaluate?</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 direct question to each segment-2 prospect during Phase 0.</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Q-05</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What is the acceptable price per seat for segment 1, and does it clear LLM cost per document with margin?</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 pricing conversation at pilot conversion, informed by measured cost.</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Q-06</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Which existing test management tool do partners use, and does TADQEEQ need to coexist with it rather than replace it?</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 partner interviews; determines v2 integration priority.</w:t>
            </w:r>
          </w:p>
        </w:tc>
      </w:tr>
    </w:tbl>
    <w:p>
      <w:pPr>
        <w:pStyle w:val="Heading1"/>
        <w:pageBreakBefore/>
        <w:spacing w:after="160" w:before="360"/>
      </w:pPr>
      <w:r>
        <w:rPr>
          <w:rFonts w:ascii="Calibri" w:cs="Calibri" w:eastAsia="Calibri" w:hAnsi="Calibri"/>
          <w:b/>
          <w:bCs/>
          <w:color w:val="1F4E79"/>
          <w:sz w:val="30"/>
          <w:szCs w:val="30"/>
        </w:rPr>
        <w:t xml:space="preserve">18. Conclusion</w:t>
      </w:r>
    </w:p>
    <w:p>
      <w:pPr>
        <w:spacing w:after="120" w:line="276"/>
      </w:pPr>
      <w:r>
        <w:rPr>
          <w:rFonts w:ascii="Calibri" w:cs="Calibri" w:eastAsia="Calibri" w:hAnsi="Calibri"/>
          <w:b w:val="false"/>
          <w:bCs w:val="false"/>
          <w:i w:val="false"/>
          <w:iCs w:val="false"/>
          <w:color w:val="262626"/>
          <w:sz w:val="21"/>
          <w:szCs w:val="21"/>
        </w:rPr>
        <w:t xml:space="preserve">TADQEEQ addresses a real and quantifiable inefficiency in software delivery, in a segment where the founder has direct operational experience and where global competitors are structurally disadvantaged by language, deployment model and product architecture.</w:t>
      </w:r>
    </w:p>
    <w:p>
      <w:pPr>
        <w:spacing w:after="120" w:line="276"/>
      </w:pPr>
      <w:r>
        <w:rPr>
          <w:rFonts w:ascii="Calibri" w:cs="Calibri" w:eastAsia="Calibri" w:hAnsi="Calibri"/>
          <w:b w:val="false"/>
          <w:bCs w:val="false"/>
          <w:i w:val="false"/>
          <w:iCs w:val="false"/>
          <w:color w:val="262626"/>
          <w:sz w:val="21"/>
          <w:szCs w:val="21"/>
        </w:rPr>
        <w:t xml:space="preserve">The business case rests on three things being true: that the time cost in section 3.2 is real, that generated output clears a professional reviewer’s bar, and that traceability is valued enough to pay for. All three are testable within weeks, without building the full product.</w:t>
      </w:r>
    </w:p>
    <w:p>
      <w:pPr>
        <w:spacing w:after="120" w:line="276"/>
      </w:pPr>
      <w:r>
        <w:rPr>
          <w:rFonts w:ascii="Calibri" w:cs="Calibri" w:eastAsia="Calibri" w:hAnsi="Calibri"/>
          <w:b/>
          <w:bCs/>
          <w:i w:val="false"/>
          <w:iCs w:val="false"/>
          <w:color w:val="262626"/>
          <w:sz w:val="21"/>
          <w:szCs w:val="21"/>
        </w:rPr>
        <w:t xml:space="preserve">The single most important instruction in this document is in section 10.1: validate with three real QA teams before writing production code. Every other risk in section 12 is survivable. Building the wrong product for six months is not.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TADQEEQ</dc:title>
  <dc:creator>TADQEEQ Product Team</dc:creator>
  <dc:description>Business Requirements Document</dc:description>
  <cp:lastModifiedBy>Un-named</cp:lastModifiedBy>
  <cp:revision>1</cp:revision>
  <dcterms:created xsi:type="dcterms:W3CDTF">2026-07-24T20:05:03.237Z</dcterms:created>
  <dcterms:modified xsi:type="dcterms:W3CDTF">2026-07-24T20:05:03.238Z</dcterms:modified>
</cp:coreProperties>
</file>

<file path=docProps/custom.xml><?xml version="1.0" encoding="utf-8"?>
<Properties xmlns="http://schemas.openxmlformats.org/officeDocument/2006/custom-properties" xmlns:vt="http://schemas.openxmlformats.org/officeDocument/2006/docPropsVTypes"/>
</file>