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100"/>
        <w:jc w:val="center"/>
      </w:pPr>
      <w:r>
        <w:rPr>
          <w:rFonts w:ascii="Calibri" w:cs="Calibri" w:eastAsia="Calibri" w:hAnsi="Calibri"/>
          <w:b/>
          <w:bCs/>
          <w:color w:val="2E75B6"/>
          <w:spacing w:val="60"/>
          <w:sz w:val="26"/>
          <w:szCs w:val="26"/>
        </w:rPr>
        <w:t xml:space="preserve">Business Requirements Document (BRD) — Version 2.0</w:t>
      </w:r>
    </w:p>
    <w:p>
      <w:pPr>
        <w:pBdr>
          <w:bottom w:val="single" w:color="1F4E79" w:sz="12" w:space="12"/>
        </w:pBdr>
        <w:spacing w:after="60"/>
        <w:jc w:val="center"/>
      </w:pPr>
      <w:r>
        <w:rPr>
          <w:rFonts w:ascii="Calibri" w:cs="Calibri" w:eastAsia="Calibri" w:hAnsi="Calibri"/>
          <w:b/>
          <w:bCs/>
          <w:color w:val="1F4E79"/>
          <w:sz w:val="52"/>
          <w:szCs w:val="52"/>
        </w:rPr>
        <w:t xml:space="preserve">TADQEEQ</w:t>
      </w:r>
    </w:p>
    <w:p>
      <w:pPr>
        <w:spacing w:after="900" w:before="260"/>
        <w:jc w:val="center"/>
      </w:pPr>
      <w:r>
        <w:rPr>
          <w:rFonts w:ascii="Calibri" w:cs="Calibri" w:eastAsia="Calibri" w:hAnsi="Calibri"/>
          <w:i/>
          <w:iCs/>
          <w:color w:val="595959"/>
          <w:sz w:val="24"/>
          <w:szCs w:val="24"/>
        </w:rPr>
        <w:t xml:space="preserve">From a test generation tool to a Quality Operating System</w:t>
      </w:r>
    </w:p>
    <w:tbl>
      <w:tblPr>
        <w:tblW w:type="dxa" w:w="6500"/>
        <w:tblBorders>
          <w:top w:val="single" w:color="BFBFBF" w:sz="4"/>
          <w:left w:val="single" w:color="BFBFBF" w:sz="4"/>
          <w:bottom w:val="single" w:color="BFBFBF" w:sz="4"/>
          <w:right w:val="single" w:color="BFBFBF" w:sz="4"/>
          <w:insideH w:val="single" w:color="D9D9D9" w:sz="2"/>
          <w:insideV w:val="single" w:color="D9D9D9" w:sz="2"/>
        </w:tblBorders>
      </w:tblPr>
      <w:tblGrid>
        <w:gridCol w:w="2167"/>
        <w:gridCol w:w="4333"/>
      </w:tblGrid>
      <w:tr>
        <w:tc>
          <w:tcPr>
            <w:tcW w:type="dxa" w:w="216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Document type</w:t>
            </w:r>
          </w:p>
        </w:tc>
        <w:tc>
          <w:tcPr>
            <w:tcW w:type="dxa" w:w="433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Business Requirements Document (BRD) — Version 2.0</w:t>
            </w:r>
          </w:p>
        </w:tc>
      </w:tr>
      <w:tr>
        <w:tc>
          <w:tcPr>
            <w:tcW w:type="dxa" w:w="216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Product / codename</w:t>
            </w:r>
          </w:p>
        </w:tc>
        <w:tc>
          <w:tcPr>
            <w:tcW w:type="dxa" w:w="433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TADQEEQ — AI Test Design &amp; Traceability Platform</w:t>
            </w:r>
          </w:p>
        </w:tc>
      </w:tr>
      <w:tr>
        <w:tc>
          <w:tcPr>
            <w:tcW w:type="dxa" w:w="216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Version</w:t>
            </w:r>
          </w:p>
        </w:tc>
        <w:tc>
          <w:tcPr>
            <w:tcW w:type="dxa" w:w="433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2.0 (Platform expansion)</w:t>
            </w:r>
          </w:p>
        </w:tc>
      </w:tr>
      <w:tr>
        <w:tc>
          <w:tcPr>
            <w:tcW w:type="dxa" w:w="216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Date</w:t>
            </w:r>
          </w:p>
        </w:tc>
        <w:tc>
          <w:tcPr>
            <w:tcW w:type="dxa" w:w="433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24 July 2026</w:t>
            </w:r>
          </w:p>
        </w:tc>
      </w:tr>
      <w:tr>
        <w:tc>
          <w:tcPr>
            <w:tcW w:type="dxa" w:w="216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Author / Owner</w:t>
            </w:r>
          </w:p>
        </w:tc>
        <w:tc>
          <w:tcPr>
            <w:tcW w:type="dxa" w:w="433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Product Owner, with Head of Engineering</w:t>
            </w:r>
          </w:p>
        </w:tc>
      </w:tr>
      <w:tr>
        <w:tc>
          <w:tcPr>
            <w:tcW w:type="dxa" w:w="216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Status</w:t>
            </w:r>
          </w:p>
        </w:tc>
        <w:tc>
          <w:tcPr>
            <w:tcW w:type="dxa" w:w="433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Draft — supersedes BRD v1.0 for scope beyond the MVP</w:t>
            </w:r>
          </w:p>
        </w:tc>
      </w:tr>
      <w:tr>
        <w:tc>
          <w:tcPr>
            <w:tcW w:type="dxa" w:w="216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Classification</w:t>
            </w:r>
          </w:p>
        </w:tc>
        <w:tc>
          <w:tcPr>
            <w:tcW w:type="dxa" w:w="433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Confidential — Internal &amp; Prospective Design Partners</w:t>
            </w:r>
          </w:p>
        </w:tc>
      </w:tr>
    </w:tbl>
    <w:p>
      <w:pPr>
        <w:pStyle w:val="Heading1"/>
        <w:pageBreakBefore/>
        <w:spacing w:after="200"/>
      </w:pPr>
      <w:r>
        <w:rPr>
          <w:rFonts w:ascii="Calibri" w:cs="Calibri" w:eastAsia="Calibri" w:hAnsi="Calibri"/>
          <w:b/>
          <w:bCs/>
          <w:color w:val="1F4E79"/>
          <w:sz w:val="30"/>
          <w:szCs w:val="30"/>
        </w:rPr>
        <w:t xml:space="preserve">Table of Contents</w:t>
      </w:r>
    </w:p>
    <w:sdt>
      <w:sdtPr>
        <w:alias w:val="Right-click and choose &quot;Update Field&quot; to refresh."/>
      </w:sdtPr>
      <w:sdtContent>
        <w:p>
          <w:r>
            <w:fldChar w:fldCharType="begin" w:dirty="true"/>
            <w:instrText xml:space="preserve">TOC \h \o "1-3"</w:instrText>
            <w:fldChar w:fldCharType="separate"/>
          </w:r>
        </w:p>
        <w:p>
          <w:r>
            <w:fldChar w:fldCharType="end"/>
          </w:r>
        </w:p>
      </w:sdtContent>
    </w:sdt>
    <w:p>
      <w:pPr>
        <w:pStyle w:val="Heading1"/>
        <w:pageBreakBefore/>
        <w:spacing w:after="160" w:before="360"/>
      </w:pPr>
      <w:r>
        <w:rPr>
          <w:rFonts w:ascii="Calibri" w:cs="Calibri" w:eastAsia="Calibri" w:hAnsi="Calibri"/>
          <w:b/>
          <w:bCs/>
          <w:color w:val="1F4E79"/>
          <w:sz w:val="30"/>
          <w:szCs w:val="30"/>
        </w:rPr>
        <w:t xml:space="preserve">1. Document Control</w:t>
      </w:r>
    </w:p>
    <w:p>
      <w:pPr>
        <w:pStyle w:val="Heading2"/>
        <w:spacing w:after="110" w:before="260"/>
      </w:pPr>
      <w:r>
        <w:rPr>
          <w:rFonts w:ascii="Calibri" w:cs="Calibri" w:eastAsia="Calibri" w:hAnsi="Calibri"/>
          <w:b/>
          <w:bCs/>
          <w:color w:val="2E75B6"/>
          <w:sz w:val="25"/>
          <w:szCs w:val="25"/>
        </w:rPr>
        <w:t xml:space="preserve">1.1 Purpose and relationship to version 1.0</w:t>
      </w:r>
    </w:p>
    <w:p>
      <w:pPr>
        <w:spacing w:after="120" w:line="276"/>
      </w:pPr>
      <w:r>
        <w:rPr>
          <w:rFonts w:ascii="Calibri" w:cs="Calibri" w:eastAsia="Calibri" w:hAnsi="Calibri"/>
          <w:b w:val="false"/>
          <w:bCs w:val="false"/>
          <w:i w:val="false"/>
          <w:iCs w:val="false"/>
          <w:color w:val="262626"/>
          <w:sz w:val="21"/>
          <w:szCs w:val="21"/>
        </w:rPr>
        <w:t xml:space="preserve">BRD v1.0 defined a deliberately narrow MVP: ingest a requirements document, discover an API from its specification, generate requirement-linked test cases, execute them, and report traceability. That narrowness was correct — it made the product buildable in eight weeks and testable against real users.</w:t>
      </w:r>
    </w:p>
    <w:p>
      <w:pPr>
        <w:spacing w:after="120" w:line="276"/>
      </w:pPr>
      <w:r>
        <w:rPr>
          <w:rFonts w:ascii="Calibri" w:cs="Calibri" w:eastAsia="Calibri" w:hAnsi="Calibri"/>
          <w:b w:val="false"/>
          <w:bCs w:val="false"/>
          <w:i w:val="false"/>
          <w:iCs w:val="false"/>
          <w:color w:val="262626"/>
          <w:sz w:val="21"/>
          <w:szCs w:val="21"/>
        </w:rPr>
        <w:t xml:space="preserve">This document defines version 2.0, which is a different kind of product. Where v1 automated one step of the QA workflow, v2 aims to hold the entire quality lifecycle of a software delivery organisation: planning, design, execution across API, UI, mobile, visual, accessibility and localisation, defect handling, risk-based prioritisation, release governance, and the analytics a Head of Quality reports upward.</w:t>
      </w:r>
    </w:p>
    <w:p>
      <w:pPr>
        <w:spacing w:after="120" w:line="276"/>
      </w:pPr>
      <w:r>
        <w:rPr>
          <w:rFonts w:ascii="Calibri" w:cs="Calibri" w:eastAsia="Calibri" w:hAnsi="Calibri"/>
          <w:b w:val="false"/>
          <w:bCs w:val="false"/>
          <w:i w:val="false"/>
          <w:iCs w:val="false"/>
          <w:color w:val="262626"/>
          <w:sz w:val="21"/>
          <w:szCs w:val="21"/>
        </w:rPr>
        <w:t xml:space="preserve">v1.0 requirements BR-01 to BR-17 remain in force and are not restated here. This document adds BR-201 onwards. Where a v1 requirement is expanded, that is stated explicitly.</w:t>
      </w:r>
    </w:p>
    <w:p>
      <w:pPr>
        <w:pStyle w:val="Heading2"/>
        <w:spacing w:after="110" w:before="260"/>
      </w:pPr>
      <w:r>
        <w:rPr>
          <w:rFonts w:ascii="Calibri" w:cs="Calibri" w:eastAsia="Calibri" w:hAnsi="Calibri"/>
          <w:b/>
          <w:bCs/>
          <w:color w:val="2E75B6"/>
          <w:sz w:val="25"/>
          <w:szCs w:val="25"/>
        </w:rPr>
        <w:t xml:space="preserve">1.2 Version 2.0 in one paragraph</w:t>
      </w:r>
    </w:p>
    <w:p>
      <w:pPr>
        <w:spacing w:after="120" w:line="276"/>
      </w:pPr>
      <w:r>
        <w:rPr>
          <w:rFonts w:ascii="Calibri" w:cs="Calibri" w:eastAsia="Calibri" w:hAnsi="Calibri"/>
          <w:b/>
          <w:bCs/>
          <w:i w:val="false"/>
          <w:iCs w:val="false"/>
          <w:color w:val="262626"/>
          <w:sz w:val="21"/>
          <w:szCs w:val="21"/>
        </w:rPr>
        <w:t xml:space="preserve">TADQEEQ v2 is a Quality Operating System: a single platform where a requirement, a test, a run, a defect, a release and a risk are all first-class linked objects. Its differentiators remain Arabic-native requirements handling, requirement-to-evidence traceability, and deployment inside the customer’s own infrastructure — but the surface area grows from API test generation to the full quality lifecycle, and the intelligence layer grows from generation to autonomous maintenance, root-cause analysis and risk prediction.</w:t>
      </w:r>
    </w:p>
    <w:p>
      <w:pPr>
        <w:pStyle w:val="Heading2"/>
        <w:spacing w:after="110" w:before="260"/>
      </w:pPr>
      <w:r>
        <w:rPr>
          <w:rFonts w:ascii="Calibri" w:cs="Calibri" w:eastAsia="Calibri" w:hAnsi="Calibri"/>
          <w:b/>
          <w:bCs/>
          <w:color w:val="2E75B6"/>
          <w:sz w:val="25"/>
          <w:szCs w:val="25"/>
        </w:rPr>
        <w:t xml:space="preserve">1.3 Related documents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407"/>
        <w:gridCol w:w="6953"/>
      </w:tblGrid>
      <w:tr>
        <w:trPr>
          <w:tblHeader/>
        </w:trPr>
        <w:tc>
          <w:tcPr>
            <w:tcW w:type="dxa" w:w="240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Reference</w:t>
            </w:r>
          </w:p>
        </w:tc>
        <w:tc>
          <w:tcPr>
            <w:tcW w:type="dxa" w:w="6953"/>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Description</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BRD v1.0</w:t>
            </w:r>
          </w:p>
        </w:tc>
        <w:tc>
          <w:tcPr>
            <w:tcW w:type="dxa" w:w="695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MVP business case. BR-01 to BR-17 remain in force.</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SRS v1.0 / SRS v2.0</w:t>
            </w:r>
          </w:p>
        </w:tc>
        <w:tc>
          <w:tcPr>
            <w:tcW w:type="dxa" w:w="695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Functional specification. v2 adds approximately 240 functional requirements across 27 modules.</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TRD v1.0 / TRD v2.0</w:t>
            </w:r>
          </w:p>
        </w:tc>
        <w:tc>
          <w:tcPr>
            <w:tcW w:type="dxa" w:w="695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Technical architecture. v2 decomposes the modular monolith into domain services on an event backbone.</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Pilot Evidence Report</w:t>
            </w:r>
          </w:p>
        </w:tc>
        <w:tc>
          <w:tcPr>
            <w:tcW w:type="dxa" w:w="695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Measured outcomes from the v1 design-partner pilot. Gates entry into v2 (section 3).</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ISO/IEC 25010</w:t>
            </w:r>
          </w:p>
        </w:tc>
        <w:tc>
          <w:tcPr>
            <w:tcW w:type="dxa" w:w="695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Product quality model, used to structure the quality dimensions v2 measures.</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ISO/IEC/IEEE 29119</w:t>
            </w:r>
          </w:p>
        </w:tc>
        <w:tc>
          <w:tcPr>
            <w:tcW w:type="dxa" w:w="695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Software testing standard; informs test planning, design and reporting structures added in v2.</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NCA Essential Cybersecurity Controls (ECC)</w:t>
            </w:r>
          </w:p>
        </w:tc>
        <w:tc>
          <w:tcPr>
            <w:tcW w:type="dxa" w:w="695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Saudi national controls relevant to selling into government entities.</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Saudi PDPL / SDAIA guidance</w:t>
            </w:r>
          </w:p>
        </w:tc>
        <w:tc>
          <w:tcPr>
            <w:tcW w:type="dxa" w:w="695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Data protection obligations shaping residency and deployment.</w:t>
            </w:r>
          </w:p>
        </w:tc>
      </w:tr>
    </w:tbl>
    <w:p>
      <w:pPr>
        <w:pStyle w:val="Heading2"/>
        <w:spacing w:after="110" w:before="260"/>
      </w:pPr>
      <w:r>
        <w:rPr>
          <w:rFonts w:ascii="Calibri" w:cs="Calibri" w:eastAsia="Calibri" w:hAnsi="Calibri"/>
          <w:b/>
          <w:bCs/>
          <w:color w:val="2E75B6"/>
          <w:sz w:val="25"/>
          <w:szCs w:val="25"/>
        </w:rPr>
        <w:t xml:space="preserve">1.4 Revision history</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370"/>
        <w:gridCol w:w="2055"/>
        <w:gridCol w:w="2740"/>
        <w:gridCol w:w="3195"/>
      </w:tblGrid>
      <w:tr>
        <w:trPr>
          <w:tblHeader/>
        </w:trPr>
        <w:tc>
          <w:tcPr>
            <w:tcW w:type="dxa" w:w="137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Version</w:t>
            </w:r>
          </w:p>
        </w:tc>
        <w:tc>
          <w:tcPr>
            <w:tcW w:type="dxa" w:w="2055"/>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Date</w:t>
            </w:r>
          </w:p>
        </w:tc>
        <w:tc>
          <w:tcPr>
            <w:tcW w:type="dxa" w:w="274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Author</w:t>
            </w:r>
          </w:p>
        </w:tc>
        <w:tc>
          <w:tcPr>
            <w:tcW w:type="dxa" w:w="3195"/>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Summary of change</w:t>
            </w:r>
          </w:p>
        </w:tc>
      </w:tr>
      <w:tr>
        <w:tc>
          <w:tcPr>
            <w:tcW w:type="dxa" w:w="137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1.0</w:t>
            </w:r>
          </w:p>
        </w:tc>
        <w:tc>
          <w:tcPr>
            <w:tcW w:type="dxa" w:w="205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2026-07-24</w:t>
            </w:r>
          </w:p>
        </w:tc>
        <w:tc>
          <w:tcPr>
            <w:tcW w:type="dxa" w:w="274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Product Owner</w:t>
            </w:r>
          </w:p>
        </w:tc>
        <w:tc>
          <w:tcPr>
            <w:tcW w:type="dxa" w:w="319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MVP baseline: API testing, OpenAPI discovery, traceability.</w:t>
            </w:r>
          </w:p>
        </w:tc>
      </w:tr>
      <w:tr>
        <w:tc>
          <w:tcPr>
            <w:tcW w:type="dxa" w:w="137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2.0</w:t>
            </w:r>
          </w:p>
        </w:tc>
        <w:tc>
          <w:tcPr>
            <w:tcW w:type="dxa" w:w="205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2026-07-24</w:t>
            </w:r>
          </w:p>
        </w:tc>
        <w:tc>
          <w:tcPr>
            <w:tcW w:type="dxa" w:w="274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Product Owner</w:t>
            </w:r>
          </w:p>
        </w:tc>
        <w:tc>
          <w:tcPr>
            <w:tcW w:type="dxa" w:w="319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Platform expansion: full lifecycle coverage, five product pillars, BR-201 to BR-248, revised commercial model, partner channel, four-release roadmap.</w:t>
            </w:r>
          </w:p>
        </w:tc>
      </w:tr>
    </w:tbl>
    <w:p>
      <w:pPr>
        <w:pStyle w:val="Heading1"/>
        <w:pageBreakBefore/>
        <w:spacing w:after="160" w:before="360"/>
      </w:pPr>
      <w:r>
        <w:rPr>
          <w:rFonts w:ascii="Calibri" w:cs="Calibri" w:eastAsia="Calibri" w:hAnsi="Calibri"/>
          <w:b/>
          <w:bCs/>
          <w:color w:val="1F4E79"/>
          <w:sz w:val="30"/>
          <w:szCs w:val="30"/>
        </w:rPr>
        <w:t xml:space="preserve">2. Executive Summary</w:t>
      </w:r>
    </w:p>
    <w:p>
      <w:pPr>
        <w:pStyle w:val="Heading2"/>
        <w:spacing w:after="110" w:before="260"/>
      </w:pPr>
      <w:r>
        <w:rPr>
          <w:rFonts w:ascii="Calibri" w:cs="Calibri" w:eastAsia="Calibri" w:hAnsi="Calibri"/>
          <w:b/>
          <w:bCs/>
          <w:color w:val="2E75B6"/>
          <w:sz w:val="25"/>
          <w:szCs w:val="25"/>
        </w:rPr>
        <w:t xml:space="preserve">2.1 Why the product must get bigger</w:t>
      </w:r>
    </w:p>
    <w:p>
      <w:pPr>
        <w:spacing w:after="120" w:line="276"/>
      </w:pPr>
      <w:r>
        <w:rPr>
          <w:rFonts w:ascii="Calibri" w:cs="Calibri" w:eastAsia="Calibri" w:hAnsi="Calibri"/>
          <w:b w:val="false"/>
          <w:bCs w:val="false"/>
          <w:i w:val="false"/>
          <w:iCs w:val="false"/>
          <w:color w:val="262626"/>
          <w:sz w:val="21"/>
          <w:szCs w:val="21"/>
        </w:rPr>
        <w:t xml:space="preserve">Three forces make expansion necessary rather than merely attractive.</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407"/>
        <w:gridCol w:w="6953"/>
      </w:tblGrid>
      <w:tr>
        <w:trPr>
          <w:tblHeader/>
        </w:trPr>
        <w:tc>
          <w:tcPr>
            <w:tcW w:type="dxa" w:w="240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Force</w:t>
            </w:r>
          </w:p>
        </w:tc>
        <w:tc>
          <w:tcPr>
            <w:tcW w:type="dxa" w:w="6953"/>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Consequence</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 narrow tool has a narrow budget</w:t>
            </w:r>
          </w:p>
        </w:tc>
        <w:tc>
          <w:tcPr>
            <w:tcW w:type="dxa" w:w="695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 test case generator is bought by a QA lead out of a tooling line item. A quality platform that owns releases, defects and audit evidence is bought by a Head of Engineering or a CIO out of a delivery budget an order of magnitude larger. The buyer changes, and so does the contract value.</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API-only coverage caps the addressable project</w:t>
            </w:r>
          </w:p>
        </w:tc>
        <w:tc>
          <w:tcPr>
            <w:tcW w:type="dxa" w:w="695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 large share of the requirements in any real scope of work concern what the user sees — screens, forms, validation messages, Arabic layout. A platform that cannot test those can never claim full coverage against the requirements document, which is precisely the claim v1 is built on.</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Retention comes from the workflow, not the artefact</w:t>
            </w:r>
          </w:p>
        </w:tc>
        <w:tc>
          <w:tcPr>
            <w:tcW w:type="dxa" w:w="695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 team that generates test cases once may not return. A team whose pipeline blocks on a TADQEEQ quality gate, whose defects are raised from TADQEEQ, and whose release sign-off is a TADQEEQ report, cannot leave without a migration project. v2 is where the product becomes infrastructure.</w:t>
            </w:r>
          </w:p>
        </w:tc>
      </w:tr>
    </w:tbl>
    <w:p>
      <w:pPr>
        <w:pStyle w:val="Heading2"/>
        <w:spacing w:after="110" w:before="260"/>
      </w:pPr>
      <w:r>
        <w:rPr>
          <w:rFonts w:ascii="Calibri" w:cs="Calibri" w:eastAsia="Calibri" w:hAnsi="Calibri"/>
          <w:b/>
          <w:bCs/>
          <w:color w:val="2E75B6"/>
          <w:sz w:val="25"/>
          <w:szCs w:val="25"/>
        </w:rPr>
        <w:t xml:space="preserve">2.2 The five pillars of version 2</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300"/>
        <w:gridCol w:w="2860"/>
        <w:gridCol w:w="5200"/>
      </w:tblGrid>
      <w:tr>
        <w:trPr>
          <w:tblHeader/>
        </w:trPr>
        <w:tc>
          <w:tcPr>
            <w:tcW w:type="dxa" w:w="130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Pillar</w:t>
            </w:r>
          </w:p>
        </w:tc>
        <w:tc>
          <w:tcPr>
            <w:tcW w:type="dxa" w:w="286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Name</w:t>
            </w:r>
          </w:p>
        </w:tc>
        <w:tc>
          <w:tcPr>
            <w:tcW w:type="dxa" w:w="520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What it adds</w:t>
            </w:r>
          </w:p>
        </w:tc>
      </w:tr>
      <w:tr>
        <w:tc>
          <w:tcPr>
            <w:tcW w:type="dxa" w:w="130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P1</w:t>
            </w:r>
          </w:p>
        </w:tc>
        <w:tc>
          <w:tcPr>
            <w:tcW w:type="dxa" w:w="286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Full-stack test coverage</w:t>
            </w:r>
          </w:p>
        </w:tc>
        <w:tc>
          <w:tcPr>
            <w:tcW w:type="dxa" w:w="520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UI functional testing with self-healing locators, visual regression, RTL and localisation validation, accessibility auditing, mobile application testing, and API discovery from live traffic where no specification exists.</w:t>
            </w:r>
          </w:p>
        </w:tc>
      </w:tr>
      <w:tr>
        <w:tc>
          <w:tcPr>
            <w:tcW w:type="dxa" w:w="130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P2</w:t>
            </w:r>
          </w:p>
        </w:tc>
        <w:tc>
          <w:tcPr>
            <w:tcW w:type="dxa" w:w="286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Quality lifecycle management</w:t>
            </w:r>
          </w:p>
        </w:tc>
        <w:tc>
          <w:tcPr>
            <w:tcW w:type="dxa" w:w="520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Test cycles and release gates, planning and assignment, defect management with bi-directional issue-tracker synchronisation, environment and test data management, service virtualisation, and compliance evidence packs.</w:t>
            </w:r>
          </w:p>
        </w:tc>
      </w:tr>
      <w:tr>
        <w:tc>
          <w:tcPr>
            <w:tcW w:type="dxa" w:w="130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P3</w:t>
            </w:r>
          </w:p>
        </w:tc>
        <w:tc>
          <w:tcPr>
            <w:tcW w:type="dxa" w:w="286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Applied intelligence</w:t>
            </w:r>
          </w:p>
        </w:tc>
        <w:tc>
          <w:tcPr>
            <w:tcW w:type="dxa" w:w="520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 conversational QA Copilot grounded in the project’s own knowledge, autonomous exploratory and maintenance agents, automated root-cause analysis, flakiness detection and quarantine, and risk-based test selection driven by code change impact.</w:t>
            </w:r>
          </w:p>
        </w:tc>
      </w:tr>
      <w:tr>
        <w:tc>
          <w:tcPr>
            <w:tcW w:type="dxa" w:w="130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P4</w:t>
            </w:r>
          </w:p>
        </w:tc>
        <w:tc>
          <w:tcPr>
            <w:tcW w:type="dxa" w:w="286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Enterprise governance and analytics</w:t>
            </w:r>
          </w:p>
        </w:tc>
        <w:tc>
          <w:tcPr>
            <w:tcW w:type="dxa" w:w="520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Portfolio-level dashboards across projects, quality scorecards for executives, SSO and SCIM, custom roles, audit and retention controls, and multi-entity tenancy for group structures.</w:t>
            </w:r>
          </w:p>
        </w:tc>
      </w:tr>
      <w:tr>
        <w:tc>
          <w:tcPr>
            <w:tcW w:type="dxa" w:w="130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P5</w:t>
            </w:r>
          </w:p>
        </w:tc>
        <w:tc>
          <w:tcPr>
            <w:tcW w:type="dxa" w:w="286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Platform and ecosystem</w:t>
            </w:r>
          </w:p>
        </w:tc>
        <w:tc>
          <w:tcPr>
            <w:tcW w:type="dxa" w:w="520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 public API and SDKs, webhooks, CI/CD plugins, an extension marketplace, and packaged on-premise and air-gapped distributions.</w:t>
            </w:r>
          </w:p>
        </w:tc>
      </w:tr>
    </w:tbl>
    <w:p>
      <w:pPr>
        <w:pStyle w:val="Heading2"/>
        <w:spacing w:after="110" w:before="260"/>
      </w:pPr>
      <w:r>
        <w:rPr>
          <w:rFonts w:ascii="Calibri" w:cs="Calibri" w:eastAsia="Calibri" w:hAnsi="Calibri"/>
          <w:b/>
          <w:bCs/>
          <w:color w:val="2E75B6"/>
          <w:sz w:val="25"/>
          <w:szCs w:val="25"/>
        </w:rPr>
        <w:t xml:space="preserve">2.3 What does not change</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The requirement remains the organising object. Every test, defect, run and release artefact links back to a requirement; that is still the product.</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The grounding rule remains absolute. No model output — now including UI locators, defect summaries and copilot answers — reaches a persisted artefact without validation against discovered reality.</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Human authority remains. Agents propose; people approve. v2 expands what can be proposed, not who decides.</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Arabic parity and customer-controlled deployment remain the two differentiators that a global competitor cannot cheaply replicate.</w:t>
      </w:r>
    </w:p>
    <w:p>
      <w:pPr>
        <w:pStyle w:val="Heading2"/>
        <w:spacing w:after="110" w:before="260"/>
      </w:pPr>
      <w:r>
        <w:rPr>
          <w:rFonts w:ascii="Calibri" w:cs="Calibri" w:eastAsia="Calibri" w:hAnsi="Calibri"/>
          <w:b/>
          <w:bCs/>
          <w:color w:val="2E75B6"/>
          <w:sz w:val="25"/>
          <w:szCs w:val="25"/>
        </w:rPr>
        <w:t xml:space="preserve">2.4 The honest framing of v2 risk</w:t>
      </w:r>
    </w:p>
    <w:p>
      <w:pPr>
        <w:spacing w:after="120" w:line="276"/>
      </w:pPr>
      <w:r>
        <w:rPr>
          <w:rFonts w:ascii="Calibri" w:cs="Calibri" w:eastAsia="Calibri" w:hAnsi="Calibri"/>
          <w:b w:val="false"/>
          <w:bCs w:val="false"/>
          <w:i w:val="false"/>
          <w:iCs w:val="false"/>
          <w:color w:val="262626"/>
          <w:sz w:val="21"/>
          <w:szCs w:val="21"/>
        </w:rPr>
        <w:t xml:space="preserve">v1’s risk was building something nobody wanted. v2’s risk is the opposite and more insidious: building many things adequately instead of a few things excellently. A platform with twenty-seven half-finished modules is worth less than a product with six that work. Section 15 defines release trains precisely so that each increment is independently sellable, and section 17 defines the gates that must be passed before the next train departs.</w:t>
      </w:r>
    </w:p>
    <w:p>
      <w:pPr>
        <w:pStyle w:val="Heading1"/>
        <w:pageBreakBefore/>
        <w:spacing w:after="160" w:before="360"/>
      </w:pPr>
      <w:r>
        <w:rPr>
          <w:rFonts w:ascii="Calibri" w:cs="Calibri" w:eastAsia="Calibri" w:hAnsi="Calibri"/>
          <w:b/>
          <w:bCs/>
          <w:color w:val="1F4E79"/>
          <w:sz w:val="30"/>
          <w:szCs w:val="30"/>
        </w:rPr>
        <w:t xml:space="preserve">3. Entry Gates — What v1 Must Prove First</w:t>
      </w:r>
    </w:p>
    <w:p>
      <w:pPr>
        <w:spacing w:after="120" w:line="276"/>
      </w:pPr>
      <w:r>
        <w:rPr>
          <w:rFonts w:ascii="Calibri" w:cs="Calibri" w:eastAsia="Calibri" w:hAnsi="Calibri"/>
          <w:b w:val="false"/>
          <w:bCs w:val="false"/>
          <w:i w:val="false"/>
          <w:iCs w:val="false"/>
          <w:color w:val="262626"/>
          <w:sz w:val="21"/>
          <w:szCs w:val="21"/>
        </w:rPr>
        <w:t xml:space="preserve">v2 is a substantial investment. It is authorised only when the v1 pilot has produced the following evidence. These are gates, not aspirations; failing one does not delay v2 by a sprint, it changes what v2 should be.</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203"/>
        <w:gridCol w:w="4546"/>
        <w:gridCol w:w="3611"/>
      </w:tblGrid>
      <w:tr>
        <w:trPr>
          <w:tblHeader/>
        </w:trPr>
        <w:tc>
          <w:tcPr>
            <w:tcW w:type="dxa" w:w="1203"/>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Gate</w:t>
            </w:r>
          </w:p>
        </w:tc>
        <w:tc>
          <w:tcPr>
            <w:tcW w:type="dxa" w:w="4546"/>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Evidence required from the v1 pilot</w:t>
            </w:r>
          </w:p>
        </w:tc>
        <w:tc>
          <w:tcPr>
            <w:tcW w:type="dxa" w:w="3611"/>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If it fails</w:t>
            </w:r>
          </w:p>
        </w:tc>
      </w:tr>
      <w:tr>
        <w:tc>
          <w:tcPr>
            <w:tcW w:type="dxa" w:w="1203"/>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G-01</w:t>
            </w:r>
          </w:p>
        </w:tc>
        <w:tc>
          <w:tcPr>
            <w:tcW w:type="dxa" w:w="454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Median reduction of at least 50% in hours to produce an approved test suite (BO-01).</w:t>
            </w:r>
          </w:p>
        </w:tc>
        <w:tc>
          <w:tcPr>
            <w:tcW w:type="dxa" w:w="361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The core value hypothesis is wrong. Do not expand surface area; fix generation quality first.</w:t>
            </w:r>
          </w:p>
        </w:tc>
      </w:tr>
      <w:tr>
        <w:tc>
          <w:tcPr>
            <w:tcW w:type="dxa" w:w="120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G-02</w:t>
            </w:r>
          </w:p>
        </w:tc>
        <w:tc>
          <w:tcPr>
            <w:tcW w:type="dxa" w:w="454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At least 70% of generated cases approved with no or minor edits (BO-02).</w:t>
            </w:r>
          </w:p>
        </w:tc>
        <w:tc>
          <w:tcPr>
            <w:tcW w:type="dxa" w:w="361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Reviewers do not trust output. Adding UI generation multiplies an unsolved problem.</w:t>
            </w:r>
          </w:p>
        </w:tc>
      </w:tr>
      <w:tr>
        <w:tc>
          <w:tcPr>
            <w:tcW w:type="dxa" w:w="1203"/>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G-03</w:t>
            </w:r>
          </w:p>
        </w:tc>
        <w:tc>
          <w:tcPr>
            <w:tcW w:type="dxa" w:w="454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At least two design partners committed in writing to a paid plan (BO-06).</w:t>
            </w:r>
          </w:p>
        </w:tc>
        <w:tc>
          <w:tcPr>
            <w:tcW w:type="dxa" w:w="361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Willingness to pay is unproven. Expansion without revenue evidence is speculation.</w:t>
            </w:r>
          </w:p>
        </w:tc>
      </w:tr>
      <w:tr>
        <w:tc>
          <w:tcPr>
            <w:tcW w:type="dxa" w:w="120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G-04</w:t>
            </w:r>
          </w:p>
        </w:tc>
        <w:tc>
          <w:tcPr>
            <w:tcW w:type="dxa" w:w="454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Zero fabricated identifiers in persisted artefacts across the pilot (BO-07).</w:t>
            </w:r>
          </w:p>
        </w:tc>
        <w:tc>
          <w:tcPr>
            <w:tcW w:type="dxa" w:w="361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The grounding architecture is not sound enough to extend to UI locators, which are far harder to ground.</w:t>
            </w:r>
          </w:p>
        </w:tc>
      </w:tr>
      <w:tr>
        <w:tc>
          <w:tcPr>
            <w:tcW w:type="dxa" w:w="1203"/>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G-05</w:t>
            </w:r>
          </w:p>
        </w:tc>
        <w:tc>
          <w:tcPr>
            <w:tcW w:type="dxa" w:w="454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Arabic extraction quality confirmed acceptable by a QA lead on real documents (BRD v1 Q-03).</w:t>
            </w:r>
          </w:p>
        </w:tc>
        <w:tc>
          <w:tcPr>
            <w:tcW w:type="dxa" w:w="361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The primary differentiator is unproven. Reconsider positioning before investing in breadth.</w:t>
            </w:r>
          </w:p>
        </w:tc>
      </w:tr>
      <w:tr>
        <w:tc>
          <w:tcPr>
            <w:tcW w:type="dxa" w:w="120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G-06</w:t>
            </w:r>
          </w:p>
        </w:tc>
        <w:tc>
          <w:tcPr>
            <w:tcW w:type="dxa" w:w="454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At least one partner using the product weekly without prompting for eight consecutive weeks.</w:t>
            </w:r>
          </w:p>
        </w:tc>
        <w:tc>
          <w:tcPr>
            <w:tcW w:type="dxa" w:w="361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Habit has not formed. Retention features in P2 are the priority, not coverage features in P1.</w:t>
            </w:r>
          </w:p>
        </w:tc>
      </w:tr>
    </w:tbl>
    <w:p>
      <w:pPr>
        <w:spacing w:after="120" w:line="276"/>
      </w:pPr>
      <w:r>
        <w:rPr>
          <w:rFonts w:ascii="Calibri" w:cs="Calibri" w:eastAsia="Calibri" w:hAnsi="Calibri"/>
          <w:b w:val="false"/>
          <w:bCs w:val="false"/>
          <w:i/>
          <w:iCs/>
          <w:color w:val="262626"/>
          <w:sz w:val="21"/>
          <w:szCs w:val="21"/>
        </w:rPr>
        <w:t xml:space="preserve">A partial pass is informative rather than fatal. If G-01 to G-05 pass but G-06 fails, the correct v2 is a workflow product (pillars P2 and P4) rather than a coverage product (pillar P1). The roadmap in section 15 is ordered so that this decision can be made without rework.</w:t>
      </w:r>
    </w:p>
    <w:p>
      <w:pPr>
        <w:pStyle w:val="Heading1"/>
        <w:pageBreakBefore/>
        <w:spacing w:after="160" w:before="360"/>
      </w:pPr>
      <w:r>
        <w:rPr>
          <w:rFonts w:ascii="Calibri" w:cs="Calibri" w:eastAsia="Calibri" w:hAnsi="Calibri"/>
          <w:b/>
          <w:bCs/>
          <w:color w:val="1F4E79"/>
          <w:sz w:val="30"/>
          <w:szCs w:val="30"/>
        </w:rPr>
        <w:t xml:space="preserve">4. Strategic Positioning for Version 2</w:t>
      </w:r>
    </w:p>
    <w:p>
      <w:pPr>
        <w:pStyle w:val="Heading2"/>
        <w:spacing w:after="110" w:before="260"/>
      </w:pPr>
      <w:r>
        <w:rPr>
          <w:rFonts w:ascii="Calibri" w:cs="Calibri" w:eastAsia="Calibri" w:hAnsi="Calibri"/>
          <w:b/>
          <w:bCs/>
          <w:color w:val="2E75B6"/>
          <w:sz w:val="25"/>
          <w:szCs w:val="25"/>
        </w:rPr>
        <w:t xml:space="preserve">4.1 Category</w:t>
      </w:r>
    </w:p>
    <w:p>
      <w:pPr>
        <w:spacing w:after="120" w:line="276"/>
      </w:pPr>
      <w:r>
        <w:rPr>
          <w:rFonts w:ascii="Calibri" w:cs="Calibri" w:eastAsia="Calibri" w:hAnsi="Calibri"/>
          <w:b w:val="false"/>
          <w:bCs w:val="false"/>
          <w:i w:val="false"/>
          <w:iCs w:val="false"/>
          <w:color w:val="262626"/>
          <w:sz w:val="21"/>
          <w:szCs w:val="21"/>
        </w:rPr>
        <w:t xml:space="preserve">v1 competed in "AI test generation". v2 competes in "quality engineering platform" — a category where the incumbents are large, expensive, and largely Western: enterprise test management suites, cloud device and browser grids, and AI test automation vendors. TADQEEQ does not win that category globally. It wins a defensible position inside it, defined by four properties held together:</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186"/>
        <w:gridCol w:w="2900"/>
        <w:gridCol w:w="5274"/>
      </w:tblGrid>
      <w:tr>
        <w:trPr>
          <w:tblHeader/>
        </w:trPr>
        <w:tc>
          <w:tcPr>
            <w:tcW w:type="dxa" w:w="1186"/>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w:t>
            </w:r>
          </w:p>
        </w:tc>
        <w:tc>
          <w:tcPr>
            <w:tcW w:type="dxa" w:w="290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Property</w:t>
            </w:r>
          </w:p>
        </w:tc>
        <w:tc>
          <w:tcPr>
            <w:tcW w:type="dxa" w:w="527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Why it compounds</w:t>
            </w:r>
          </w:p>
        </w:tc>
      </w:tr>
      <w:tr>
        <w:tc>
          <w:tcPr>
            <w:tcW w:type="dxa" w:w="1186"/>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S1</w:t>
            </w:r>
          </w:p>
        </w:tc>
        <w:tc>
          <w:tcPr>
            <w:tcW w:type="dxa" w:w="290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Requirement-native</w:t>
            </w:r>
          </w:p>
        </w:tc>
        <w:tc>
          <w:tcPr>
            <w:tcW w:type="dxa" w:w="52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Competitors organise around tests or around applications. Organising around requirements is what makes coverage, gap detection, change impact, risk scoring and audit evidence all computable from one model rather than each being a separate feature.</w:t>
            </w:r>
          </w:p>
        </w:tc>
      </w:tr>
      <w:tr>
        <w:tc>
          <w:tcPr>
            <w:tcW w:type="dxa" w:w="118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S2</w:t>
            </w:r>
          </w:p>
        </w:tc>
        <w:tc>
          <w:tcPr>
            <w:tcW w:type="dxa" w:w="290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Arabic and bilingual by design</w:t>
            </w:r>
          </w:p>
        </w:tc>
        <w:tc>
          <w:tcPr>
            <w:tcW w:type="dxa" w:w="52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Requirements ingestion, generated test content, defect reports, exported evidence packs and the interface itself all work in Arabic. Reaching parity later is a rebuild for a competitor, not a translation.</w:t>
            </w:r>
          </w:p>
        </w:tc>
      </w:tr>
      <w:tr>
        <w:tc>
          <w:tcPr>
            <w:tcW w:type="dxa" w:w="1186"/>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S3</w:t>
            </w:r>
          </w:p>
        </w:tc>
        <w:tc>
          <w:tcPr>
            <w:tcW w:type="dxa" w:w="290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Sovereign deployment</w:t>
            </w:r>
          </w:p>
        </w:tc>
        <w:tc>
          <w:tcPr>
            <w:tcW w:type="dxa" w:w="52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Full functionality — including the intelligence layer — inside customer infrastructure, with no outbound dependency. This is the single hardest property for a global SaaS competitor to match, and it is a qualification requirement in the highest-value segment.</w:t>
            </w:r>
          </w:p>
        </w:tc>
      </w:tr>
      <w:tr>
        <w:tc>
          <w:tcPr>
            <w:tcW w:type="dxa" w:w="118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S4</w:t>
            </w:r>
          </w:p>
        </w:tc>
        <w:tc>
          <w:tcPr>
            <w:tcW w:type="dxa" w:w="290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One linked object graph</w:t>
            </w:r>
          </w:p>
        </w:tc>
        <w:tc>
          <w:tcPr>
            <w:tcW w:type="dxa" w:w="52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Requirement, test, run, defect, release and risk in one model rather than four integrated tools. Every analytics and governance feature in pillar P4 is a query over this graph, which is why competitors with bolted-together suites cannot match the depth cheaply.</w:t>
            </w:r>
          </w:p>
        </w:tc>
      </w:tr>
    </w:tbl>
    <w:p>
      <w:pPr>
        <w:pStyle w:val="Heading2"/>
        <w:spacing w:after="110" w:before="260"/>
      </w:pPr>
      <w:r>
        <w:rPr>
          <w:rFonts w:ascii="Calibri" w:cs="Calibri" w:eastAsia="Calibri" w:hAnsi="Calibri"/>
          <w:b/>
          <w:bCs/>
          <w:color w:val="2E75B6"/>
          <w:sz w:val="25"/>
          <w:szCs w:val="25"/>
        </w:rPr>
        <w:t xml:space="preserve">4.2 Positioning statement, version 2</w:t>
      </w:r>
    </w:p>
    <w:p>
      <w:pPr>
        <w:spacing w:after="120" w:line="276"/>
      </w:pPr>
      <w:r>
        <w:rPr>
          <w:rFonts w:ascii="Calibri" w:cs="Calibri" w:eastAsia="Calibri" w:hAnsi="Calibri"/>
          <w:b w:val="false"/>
          <w:bCs w:val="false"/>
          <w:i/>
          <w:iCs/>
          <w:color w:val="262626"/>
          <w:sz w:val="21"/>
          <w:szCs w:val="21"/>
        </w:rPr>
        <w:t xml:space="preserve">For engineering and quality leaders in Saudi and GCC organisations who must deliver software against formally agreed requirements and prove it, TADQEEQ is a quality operating system that connects requirements, tests, defects and releases in one governed model — across API, web, mobile and accessibility — in Arabic and English, and inside their own infrastructure. Unlike global quality suites, which assemble separate tools around an English-first cloud, TADQEEQ is one requirement-native platform that can run where their data must stay.</w:t>
      </w:r>
    </w:p>
    <w:p>
      <w:pPr>
        <w:pStyle w:val="Heading2"/>
        <w:spacing w:after="110" w:before="260"/>
      </w:pPr>
      <w:r>
        <w:rPr>
          <w:rFonts w:ascii="Calibri" w:cs="Calibri" w:eastAsia="Calibri" w:hAnsi="Calibri"/>
          <w:b/>
          <w:bCs/>
          <w:color w:val="2E75B6"/>
          <w:sz w:val="25"/>
          <w:szCs w:val="25"/>
        </w:rPr>
        <w:t xml:space="preserve">4.3 Competitive posture by segment</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674"/>
        <w:gridCol w:w="3209"/>
        <w:gridCol w:w="3477"/>
      </w:tblGrid>
      <w:tr>
        <w:trPr>
          <w:tblHeader/>
        </w:trPr>
        <w:tc>
          <w:tcPr>
            <w:tcW w:type="dxa" w:w="267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Competitor type</w:t>
            </w:r>
          </w:p>
        </w:tc>
        <w:tc>
          <w:tcPr>
            <w:tcW w:type="dxa" w:w="3209"/>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Where they beat us</w:t>
            </w:r>
          </w:p>
        </w:tc>
        <w:tc>
          <w:tcPr>
            <w:tcW w:type="dxa" w:w="347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Where we win</w:t>
            </w:r>
          </w:p>
        </w:tc>
      </w:tr>
      <w:tr>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Enterprise test management suites</w:t>
            </w:r>
          </w:p>
        </w:tc>
        <w:tc>
          <w:tcPr>
            <w:tcW w:type="dxa" w:w="320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Breadth of legacy integration, established procurement relationships, maturity.</w:t>
            </w:r>
          </w:p>
        </w:tc>
        <w:tc>
          <w:tcPr>
            <w:tcW w:type="dxa" w:w="347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Requirement-native model, generation and maintenance intelligence, Arabic, price, in-Kingdom deployment.</w:t>
            </w:r>
          </w:p>
        </w:tc>
      </w:tr>
      <w:tr>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AI test automation vendors</w:t>
            </w:r>
          </w:p>
        </w:tc>
        <w:tc>
          <w:tcPr>
            <w:tcW w:type="dxa" w:w="320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UI execution maturity, self-healing track record, browser grid scale.</w:t>
            </w:r>
          </w:p>
        </w:tc>
        <w:tc>
          <w:tcPr>
            <w:tcW w:type="dxa" w:w="347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Requirements traceability, coverage-gap detection, Arabic and RTL as first-class, sovereign deployment.</w:t>
            </w:r>
          </w:p>
        </w:tc>
      </w:tr>
      <w:tr>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Cloud device and browser grids</w:t>
            </w:r>
          </w:p>
        </w:tc>
        <w:tc>
          <w:tcPr>
            <w:tcW w:type="dxa" w:w="320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Device breadth and reliability at scale.</w:t>
            </w:r>
          </w:p>
        </w:tc>
        <w:tc>
          <w:tcPr>
            <w:tcW w:type="dxa" w:w="347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We integrate rather than compete; grids become a substrate we can run on or replace with a self-hosted grid on-premise.</w:t>
            </w:r>
          </w:p>
        </w:tc>
      </w:tr>
      <w:tr>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In-house scripts and open-source frameworks</w:t>
            </w:r>
          </w:p>
        </w:tc>
        <w:tc>
          <w:tcPr>
            <w:tcW w:type="dxa" w:w="320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Free, fully controlled, no procurement.</w:t>
            </w:r>
          </w:p>
        </w:tc>
        <w:tc>
          <w:tcPr>
            <w:tcW w:type="dxa" w:w="347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Maintenance burden is the weakness. Self-healing, flakiness quarantine and generation are what a script cannot provide.</w:t>
            </w:r>
          </w:p>
        </w:tc>
      </w:tr>
      <w:tr>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System integrators’ internal QA practices</w:t>
            </w:r>
          </w:p>
        </w:tc>
        <w:tc>
          <w:tcPr>
            <w:tcW w:type="dxa" w:w="320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Owns the customer relationship.</w:t>
            </w:r>
          </w:p>
        </w:tc>
        <w:tc>
          <w:tcPr>
            <w:tcW w:type="dxa" w:w="347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Make them a channel rather than a competitor — see section 13.3.</w:t>
            </w:r>
          </w:p>
        </w:tc>
      </w:tr>
    </w:tbl>
    <w:p>
      <w:pPr>
        <w:pStyle w:val="Heading1"/>
        <w:pageBreakBefore/>
        <w:spacing w:after="160" w:before="360"/>
      </w:pPr>
      <w:r>
        <w:rPr>
          <w:rFonts w:ascii="Calibri" w:cs="Calibri" w:eastAsia="Calibri" w:hAnsi="Calibri"/>
          <w:b/>
          <w:bCs/>
          <w:color w:val="1F4E79"/>
          <w:sz w:val="30"/>
          <w:szCs w:val="30"/>
        </w:rPr>
        <w:t xml:space="preserve">5. Expanded Market and Segments</w:t>
      </w:r>
    </w:p>
    <w:p>
      <w:pPr>
        <w:pStyle w:val="Heading2"/>
        <w:spacing w:after="110" w:before="260"/>
      </w:pPr>
      <w:r>
        <w:rPr>
          <w:rFonts w:ascii="Calibri" w:cs="Calibri" w:eastAsia="Calibri" w:hAnsi="Calibri"/>
          <w:b/>
          <w:bCs/>
          <w:color w:val="2E75B6"/>
          <w:sz w:val="25"/>
          <w:szCs w:val="25"/>
        </w:rPr>
        <w:t xml:space="preserve">5.1 Segment expansion from v1</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942"/>
        <w:gridCol w:w="2407"/>
        <w:gridCol w:w="4011"/>
      </w:tblGrid>
      <w:tr>
        <w:trPr>
          <w:tblHeader/>
        </w:trPr>
        <w:tc>
          <w:tcPr>
            <w:tcW w:type="dxa" w:w="2942"/>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Segment</w:t>
            </w:r>
          </w:p>
        </w:tc>
        <w:tc>
          <w:tcPr>
            <w:tcW w:type="dxa" w:w="240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v1 status</w:t>
            </w:r>
          </w:p>
        </w:tc>
        <w:tc>
          <w:tcPr>
            <w:tcW w:type="dxa" w:w="4011"/>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v2 position</w:t>
            </w:r>
          </w:p>
        </w:tc>
      </w:tr>
      <w:tr>
        <w:tc>
          <w:tcPr>
            <w:tcW w:type="dxa" w:w="2942"/>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Saudi software houses on government projects</w:t>
            </w:r>
          </w:p>
        </w:tc>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Primary</w:t>
            </w:r>
          </w:p>
        </w:tc>
        <w:tc>
          <w:tcPr>
            <w:tcW w:type="dxa" w:w="401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Remains the volume engine. v2 raises seats per account and adds release governance, which lifts contract value.</w:t>
            </w:r>
          </w:p>
        </w:tc>
      </w:tr>
      <w:tr>
        <w:tc>
          <w:tcPr>
            <w:tcW w:type="dxa" w:w="29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Government and semi-government entities</w:t>
            </w:r>
          </w:p>
        </w:tc>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Secondary, deferred</w:t>
            </w:r>
          </w:p>
        </w:tc>
        <w:tc>
          <w:tcPr>
            <w:tcW w:type="dxa" w:w="401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Becomes primary by contract value once on-premise packaging (P5) and compliance evidence (P2) ship.</w:t>
            </w:r>
          </w:p>
        </w:tc>
      </w:tr>
      <w:tr>
        <w:tc>
          <w:tcPr>
            <w:tcW w:type="dxa" w:w="2942"/>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Startups without QA</w:t>
            </w:r>
          </w:p>
        </w:tc>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Tertiary</w:t>
            </w:r>
          </w:p>
        </w:tc>
        <w:tc>
          <w:tcPr>
            <w:tcW w:type="dxa" w:w="401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Retained as a self-serve funnel and product feedback source; not a revenue focus.</w:t>
            </w:r>
          </w:p>
        </w:tc>
      </w:tr>
      <w:tr>
        <w:tc>
          <w:tcPr>
            <w:tcW w:type="dxa" w:w="29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Regulated enterprises — banking, insurance, healthcare</w:t>
            </w:r>
          </w:p>
        </w:tc>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Not addressed</w:t>
            </w:r>
          </w:p>
        </w:tc>
        <w:tc>
          <w:tcPr>
            <w:tcW w:type="dxa" w:w="401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New. Audit evidence, access control, data residency and accessibility compliance are purchase drivers, not features.</w:t>
            </w:r>
          </w:p>
        </w:tc>
      </w:tr>
      <w:tr>
        <w:tc>
          <w:tcPr>
            <w:tcW w:type="dxa" w:w="2942"/>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Large enterprises with internal platform teams</w:t>
            </w:r>
          </w:p>
        </w:tc>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Not addressed</w:t>
            </w:r>
          </w:p>
        </w:tc>
        <w:tc>
          <w:tcPr>
            <w:tcW w:type="dxa" w:w="401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New. Buy the API, CI/CD integration and portfolio analytics rather than the interface.</w:t>
            </w:r>
          </w:p>
        </w:tc>
      </w:tr>
      <w:tr>
        <w:tc>
          <w:tcPr>
            <w:tcW w:type="dxa" w:w="29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System integrators and consultancies</w:t>
            </w:r>
          </w:p>
        </w:tc>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Not addressed</w:t>
            </w:r>
          </w:p>
        </w:tc>
        <w:tc>
          <w:tcPr>
            <w:tcW w:type="dxa" w:w="401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New. Both a customer (their own delivery quality) and a channel (they resell and implement).</w:t>
            </w:r>
          </w:p>
        </w:tc>
      </w:tr>
      <w:tr>
        <w:tc>
          <w:tcPr>
            <w:tcW w:type="dxa" w:w="2942"/>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GCC markets beyond Saudi Arabia — UAE, Qatar, Kuwait</w:t>
            </w:r>
          </w:p>
        </w:tc>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Not addressed</w:t>
            </w:r>
          </w:p>
        </w:tc>
        <w:tc>
          <w:tcPr>
            <w:tcW w:type="dxa" w:w="401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New from release 2.3. Same Arabic and data-residency dynamics, different regulators.</w:t>
            </w:r>
          </w:p>
        </w:tc>
      </w:tr>
    </w:tbl>
    <w:p>
      <w:pPr>
        <w:pStyle w:val="Heading2"/>
        <w:spacing w:after="110" w:before="260"/>
      </w:pPr>
      <w:r>
        <w:rPr>
          <w:rFonts w:ascii="Calibri" w:cs="Calibri" w:eastAsia="Calibri" w:hAnsi="Calibri"/>
          <w:b/>
          <w:bCs/>
          <w:color w:val="2E75B6"/>
          <w:sz w:val="25"/>
          <w:szCs w:val="25"/>
        </w:rPr>
        <w:t xml:space="preserve">5.2 Value by segment in v2</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942"/>
        <w:gridCol w:w="3075"/>
        <w:gridCol w:w="3343"/>
      </w:tblGrid>
      <w:tr>
        <w:trPr>
          <w:tblHeader/>
        </w:trPr>
        <w:tc>
          <w:tcPr>
            <w:tcW w:type="dxa" w:w="2942"/>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Segment</w:t>
            </w:r>
          </w:p>
        </w:tc>
        <w:tc>
          <w:tcPr>
            <w:tcW w:type="dxa" w:w="3075"/>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Primary v2 pillar</w:t>
            </w:r>
          </w:p>
        </w:tc>
        <w:tc>
          <w:tcPr>
            <w:tcW w:type="dxa" w:w="3343"/>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The sentence that sells it</w:t>
            </w:r>
          </w:p>
        </w:tc>
      </w:tr>
      <w:tr>
        <w:tc>
          <w:tcPr>
            <w:tcW w:type="dxa" w:w="29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Software houses</w:t>
            </w:r>
          </w:p>
        </w:tc>
        <w:tc>
          <w:tcPr>
            <w:tcW w:type="dxa" w:w="307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P1 + P3</w:t>
            </w:r>
          </w:p>
        </w:tc>
        <w:tc>
          <w:tcPr>
            <w:tcW w:type="dxa" w:w="334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"Your team stops maintaining broken tests and starts closing coverage gaps."</w:t>
            </w:r>
          </w:p>
        </w:tc>
      </w:tr>
      <w:tr>
        <w:tc>
          <w:tcPr>
            <w:tcW w:type="dxa" w:w="29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Government entities</w:t>
            </w:r>
          </w:p>
        </w:tc>
        <w:tc>
          <w:tcPr>
            <w:tcW w:type="dxa" w:w="307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P2 + P4 + P5</w:t>
            </w:r>
          </w:p>
        </w:tc>
        <w:tc>
          <w:tcPr>
            <w:tcW w:type="dxa" w:w="334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"Audit evidence is produced automatically, and none of it leaves your data centre."</w:t>
            </w:r>
          </w:p>
        </w:tc>
      </w:tr>
      <w:tr>
        <w:tc>
          <w:tcPr>
            <w:tcW w:type="dxa" w:w="29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Regulated enterprises</w:t>
            </w:r>
          </w:p>
        </w:tc>
        <w:tc>
          <w:tcPr>
            <w:tcW w:type="dxa" w:w="307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P2 + P4</w:t>
            </w:r>
          </w:p>
        </w:tc>
        <w:tc>
          <w:tcPr>
            <w:tcW w:type="dxa" w:w="334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"Every release carries a signed record of what was verified, by whom, against which requirement."</w:t>
            </w:r>
          </w:p>
        </w:tc>
      </w:tr>
      <w:tr>
        <w:tc>
          <w:tcPr>
            <w:tcW w:type="dxa" w:w="29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Platform teams</w:t>
            </w:r>
          </w:p>
        </w:tc>
        <w:tc>
          <w:tcPr>
            <w:tcW w:type="dxa" w:w="307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P3 + P5</w:t>
            </w:r>
          </w:p>
        </w:tc>
        <w:tc>
          <w:tcPr>
            <w:tcW w:type="dxa" w:w="334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"Your pipeline gets a quality gate that knows which tests the change actually affects."</w:t>
            </w:r>
          </w:p>
        </w:tc>
      </w:tr>
      <w:tr>
        <w:tc>
          <w:tcPr>
            <w:tcW w:type="dxa" w:w="29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System integrators</w:t>
            </w:r>
          </w:p>
        </w:tc>
        <w:tc>
          <w:tcPr>
            <w:tcW w:type="dxa" w:w="307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P4 + P5</w:t>
            </w:r>
          </w:p>
        </w:tc>
        <w:tc>
          <w:tcPr>
            <w:tcW w:type="dxa" w:w="334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"Run every client project from one portfolio view and prove delivery quality contractually."</w:t>
            </w:r>
          </w:p>
        </w:tc>
      </w:tr>
    </w:tbl>
    <w:p>
      <w:pPr>
        <w:pStyle w:val="Heading1"/>
        <w:pageBreakBefore/>
        <w:spacing w:after="160" w:before="360"/>
      </w:pPr>
      <w:r>
        <w:rPr>
          <w:rFonts w:ascii="Calibri" w:cs="Calibri" w:eastAsia="Calibri" w:hAnsi="Calibri"/>
          <w:b/>
          <w:bCs/>
          <w:color w:val="1F4E79"/>
          <w:sz w:val="30"/>
          <w:szCs w:val="30"/>
        </w:rPr>
        <w:t xml:space="preserve">6. Personas — Expanded for Version 2</w:t>
      </w:r>
    </w:p>
    <w:p>
      <w:pPr>
        <w:spacing w:after="120" w:line="276"/>
      </w:pPr>
      <w:r>
        <w:rPr>
          <w:rFonts w:ascii="Calibri" w:cs="Calibri" w:eastAsia="Calibri" w:hAnsi="Calibri"/>
          <w:b w:val="false"/>
          <w:bCs w:val="false"/>
          <w:i w:val="false"/>
          <w:iCs w:val="false"/>
          <w:color w:val="262626"/>
          <w:sz w:val="21"/>
          <w:szCs w:val="21"/>
        </w:rPr>
        <w:t xml:space="preserve">v1 addressed three personas. v2 adds five, and the centre of gravity of the purchase decision moves upward from the QA lead to engineering and quality leadership.</w:t>
      </w:r>
    </w:p>
    <w:p>
      <w:pPr>
        <w:pStyle w:val="Heading2"/>
        <w:spacing w:after="110" w:before="260"/>
      </w:pPr>
      <w:r>
        <w:rPr>
          <w:rFonts w:ascii="Calibri" w:cs="Calibri" w:eastAsia="Calibri" w:hAnsi="Calibri"/>
          <w:b/>
          <w:bCs/>
          <w:color w:val="2E75B6"/>
          <w:sz w:val="25"/>
          <w:szCs w:val="25"/>
        </w:rPr>
        <w:t xml:space="preserve">6.1 Persona map</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308"/>
        <w:gridCol w:w="2180"/>
        <w:gridCol w:w="2564"/>
        <w:gridCol w:w="2308"/>
      </w:tblGrid>
      <w:tr>
        <w:trPr>
          <w:tblHeader/>
        </w:trPr>
        <w:tc>
          <w:tcPr>
            <w:tcW w:type="dxa" w:w="230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Persona</w:t>
            </w:r>
          </w:p>
        </w:tc>
        <w:tc>
          <w:tcPr>
            <w:tcW w:type="dxa" w:w="218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Role in purchase</w:t>
            </w:r>
          </w:p>
        </w:tc>
        <w:tc>
          <w:tcPr>
            <w:tcW w:type="dxa" w:w="256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Primary pillars</w:t>
            </w:r>
          </w:p>
        </w:tc>
        <w:tc>
          <w:tcPr>
            <w:tcW w:type="dxa" w:w="230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Introduced</w:t>
            </w:r>
          </w:p>
        </w:tc>
      </w:tr>
      <w:tr>
        <w:tc>
          <w:tcPr>
            <w:tcW w:type="dxa" w:w="2308"/>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QA Engineer</w:t>
            </w:r>
          </w:p>
        </w:tc>
        <w:tc>
          <w:tcPr>
            <w:tcW w:type="dxa" w:w="218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User, champion</w:t>
            </w:r>
          </w:p>
        </w:tc>
        <w:tc>
          <w:tcPr>
            <w:tcW w:type="dxa" w:w="256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P1, P3</w:t>
            </w:r>
          </w:p>
        </w:tc>
        <w:tc>
          <w:tcPr>
            <w:tcW w:type="dxa" w:w="230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v1</w:t>
            </w:r>
          </w:p>
        </w:tc>
      </w:tr>
      <w:tr>
        <w:tc>
          <w:tcPr>
            <w:tcW w:type="dxa" w:w="230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QA Lead / Test Manager</w:t>
            </w:r>
          </w:p>
        </w:tc>
        <w:tc>
          <w:tcPr>
            <w:tcW w:type="dxa" w:w="218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User, recommender</w:t>
            </w:r>
          </w:p>
        </w:tc>
        <w:tc>
          <w:tcPr>
            <w:tcW w:type="dxa" w:w="256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P1, P2, P3</w:t>
            </w:r>
          </w:p>
        </w:tc>
        <w:tc>
          <w:tcPr>
            <w:tcW w:type="dxa" w:w="230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v1</w:t>
            </w:r>
          </w:p>
        </w:tc>
      </w:tr>
      <w:tr>
        <w:tc>
          <w:tcPr>
            <w:tcW w:type="dxa" w:w="2308"/>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Developer / Tech Lead</w:t>
            </w:r>
          </w:p>
        </w:tc>
        <w:tc>
          <w:tcPr>
            <w:tcW w:type="dxa" w:w="218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User, technical veto</w:t>
            </w:r>
          </w:p>
        </w:tc>
        <w:tc>
          <w:tcPr>
            <w:tcW w:type="dxa" w:w="256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P1, P3, P5</w:t>
            </w:r>
          </w:p>
        </w:tc>
        <w:tc>
          <w:tcPr>
            <w:tcW w:type="dxa" w:w="230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v1</w:t>
            </w:r>
          </w:p>
        </w:tc>
      </w:tr>
      <w:tr>
        <w:tc>
          <w:tcPr>
            <w:tcW w:type="dxa" w:w="230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Head of Quality</w:t>
            </w:r>
          </w:p>
        </w:tc>
        <w:tc>
          <w:tcPr>
            <w:tcW w:type="dxa" w:w="218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Economic buyer</w:t>
            </w:r>
          </w:p>
        </w:tc>
        <w:tc>
          <w:tcPr>
            <w:tcW w:type="dxa" w:w="256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P2, P4</w:t>
            </w:r>
          </w:p>
        </w:tc>
        <w:tc>
          <w:tcPr>
            <w:tcW w:type="dxa" w:w="230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v2</w:t>
            </w:r>
          </w:p>
        </w:tc>
      </w:tr>
      <w:tr>
        <w:tc>
          <w:tcPr>
            <w:tcW w:type="dxa" w:w="2308"/>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VP Engineering / CTO</w:t>
            </w:r>
          </w:p>
        </w:tc>
        <w:tc>
          <w:tcPr>
            <w:tcW w:type="dxa" w:w="218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Economic buyer at enterprise</w:t>
            </w:r>
          </w:p>
        </w:tc>
        <w:tc>
          <w:tcPr>
            <w:tcW w:type="dxa" w:w="256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P3, P4, P5</w:t>
            </w:r>
          </w:p>
        </w:tc>
        <w:tc>
          <w:tcPr>
            <w:tcW w:type="dxa" w:w="230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v2</w:t>
            </w:r>
          </w:p>
        </w:tc>
      </w:tr>
      <w:tr>
        <w:tc>
          <w:tcPr>
            <w:tcW w:type="dxa" w:w="230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Release Manager</w:t>
            </w:r>
          </w:p>
        </w:tc>
        <w:tc>
          <w:tcPr>
            <w:tcW w:type="dxa" w:w="218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User, workflow owner</w:t>
            </w:r>
          </w:p>
        </w:tc>
        <w:tc>
          <w:tcPr>
            <w:tcW w:type="dxa" w:w="256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P2</w:t>
            </w:r>
          </w:p>
        </w:tc>
        <w:tc>
          <w:tcPr>
            <w:tcW w:type="dxa" w:w="230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v2</w:t>
            </w:r>
          </w:p>
        </w:tc>
      </w:tr>
      <w:tr>
        <w:tc>
          <w:tcPr>
            <w:tcW w:type="dxa" w:w="2308"/>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Compliance / Internal Audit</w:t>
            </w:r>
          </w:p>
        </w:tc>
        <w:tc>
          <w:tcPr>
            <w:tcW w:type="dxa" w:w="218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Approver, blocker</w:t>
            </w:r>
          </w:p>
        </w:tc>
        <w:tc>
          <w:tcPr>
            <w:tcW w:type="dxa" w:w="256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P2, P4</w:t>
            </w:r>
          </w:p>
        </w:tc>
        <w:tc>
          <w:tcPr>
            <w:tcW w:type="dxa" w:w="230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v2</w:t>
            </w:r>
          </w:p>
        </w:tc>
      </w:tr>
      <w:tr>
        <w:tc>
          <w:tcPr>
            <w:tcW w:type="dxa" w:w="230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SI Delivery Manager</w:t>
            </w:r>
          </w:p>
        </w:tc>
        <w:tc>
          <w:tcPr>
            <w:tcW w:type="dxa" w:w="218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Channel partner</w:t>
            </w:r>
          </w:p>
        </w:tc>
        <w:tc>
          <w:tcPr>
            <w:tcW w:type="dxa" w:w="256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P4, P5</w:t>
            </w:r>
          </w:p>
        </w:tc>
        <w:tc>
          <w:tcPr>
            <w:tcW w:type="dxa" w:w="230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v2</w:t>
            </w:r>
          </w:p>
        </w:tc>
      </w:tr>
    </w:tbl>
    <w:p>
      <w:pPr>
        <w:pStyle w:val="Heading2"/>
        <w:spacing w:after="110" w:before="260"/>
      </w:pPr>
      <w:r>
        <w:rPr>
          <w:rFonts w:ascii="Calibri" w:cs="Calibri" w:eastAsia="Calibri" w:hAnsi="Calibri"/>
          <w:b/>
          <w:bCs/>
          <w:color w:val="2E75B6"/>
          <w:sz w:val="25"/>
          <w:szCs w:val="25"/>
        </w:rPr>
        <w:t xml:space="preserve">6.2 New personas in detail</w:t>
      </w:r>
    </w:p>
    <w:p>
      <w:pPr>
        <w:pStyle w:val="Heading3"/>
        <w:spacing w:after="90" w:before="200"/>
      </w:pPr>
      <w:r>
        <w:rPr>
          <w:rFonts w:ascii="Calibri" w:cs="Calibri" w:eastAsia="Calibri" w:hAnsi="Calibri"/>
          <w:b/>
          <w:bCs/>
          <w:color w:val="404040"/>
          <w:sz w:val="22"/>
          <w:szCs w:val="22"/>
        </w:rPr>
        <w:t xml:space="preserve">Sara — Head of Quality, 200-person engineering organisation</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Owns quality across eleven concurrent projects and reports a quality position to the executive team monthly.</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Cannot currently answer "which release is riskiest right now" without asking four team leads.</w:t>
      </w:r>
    </w:p>
    <w:p>
      <w:pPr>
        <w:pStyle w:val="ListParagraph"/>
        <w:numPr>
          <w:ilvl w:val="0"/>
          <w:numId w:val="2"/>
        </w:numPr>
        <w:spacing w:after="70" w:line="268"/>
      </w:pPr>
      <w:r>
        <w:rPr>
          <w:rFonts w:ascii="Calibri" w:cs="Calibri" w:eastAsia="Calibri" w:hAnsi="Calibri"/>
          <w:b/>
          <w:bCs/>
          <w:i w:val="false"/>
          <w:iCs w:val="false"/>
          <w:color w:val="262626"/>
          <w:sz w:val="21"/>
          <w:szCs w:val="21"/>
        </w:rPr>
        <w:t xml:space="preserve">Buying trigger: </w:t>
      </w:r>
      <w:r>
        <w:rPr>
          <w:rFonts w:ascii="Calibri" w:cs="Calibri" w:eastAsia="Calibri" w:hAnsi="Calibri"/>
          <w:b w:val="false"/>
          <w:bCs w:val="false"/>
          <w:i w:val="false"/>
          <w:iCs w:val="false"/>
          <w:color w:val="262626"/>
          <w:sz w:val="21"/>
          <w:szCs w:val="21"/>
        </w:rPr>
        <w:t xml:space="preserve">a production incident whose root cause traced to a requirement everyone assumed was covered.</w:t>
      </w:r>
    </w:p>
    <w:p>
      <w:pPr>
        <w:pStyle w:val="ListParagraph"/>
        <w:numPr>
          <w:ilvl w:val="0"/>
          <w:numId w:val="2"/>
        </w:numPr>
        <w:spacing w:after="70" w:line="268"/>
      </w:pPr>
      <w:r>
        <w:rPr>
          <w:rFonts w:ascii="Calibri" w:cs="Calibri" w:eastAsia="Calibri" w:hAnsi="Calibri"/>
          <w:b/>
          <w:bCs/>
          <w:i w:val="false"/>
          <w:iCs w:val="false"/>
          <w:color w:val="262626"/>
          <w:sz w:val="21"/>
          <w:szCs w:val="21"/>
        </w:rPr>
        <w:t xml:space="preserve">What she needs from v2: </w:t>
      </w:r>
      <w:r>
        <w:rPr>
          <w:rFonts w:ascii="Calibri" w:cs="Calibri" w:eastAsia="Calibri" w:hAnsi="Calibri"/>
          <w:b w:val="false"/>
          <w:bCs w:val="false"/>
          <w:i w:val="false"/>
          <w:iCs w:val="false"/>
          <w:color w:val="262626"/>
          <w:sz w:val="21"/>
          <w:szCs w:val="21"/>
        </w:rPr>
        <w:t xml:space="preserve">portfolio dashboards, quality scorecards, release gates, and a defensible answer to "are we ready to ship".</w:t>
      </w:r>
    </w:p>
    <w:p>
      <w:pPr>
        <w:pStyle w:val="ListParagraph"/>
        <w:numPr>
          <w:ilvl w:val="0"/>
          <w:numId w:val="2"/>
        </w:numPr>
        <w:spacing w:after="70" w:line="268"/>
      </w:pPr>
      <w:r>
        <w:rPr>
          <w:rFonts w:ascii="Calibri" w:cs="Calibri" w:eastAsia="Calibri" w:hAnsi="Calibri"/>
          <w:b/>
          <w:bCs/>
          <w:i w:val="false"/>
          <w:iCs w:val="false"/>
          <w:color w:val="262626"/>
          <w:sz w:val="21"/>
          <w:szCs w:val="21"/>
        </w:rPr>
        <w:t xml:space="preserve">Objection: </w:t>
      </w:r>
      <w:r>
        <w:rPr>
          <w:rFonts w:ascii="Calibri" w:cs="Calibri" w:eastAsia="Calibri" w:hAnsi="Calibri"/>
          <w:b w:val="false"/>
          <w:bCs w:val="false"/>
          <w:i w:val="false"/>
          <w:iCs w:val="false"/>
          <w:color w:val="262626"/>
          <w:sz w:val="21"/>
          <w:szCs w:val="21"/>
        </w:rPr>
        <w:t xml:space="preserve">"I already own a test management tool." The answer is not feature comparison — it is that her existing tool cannot compute coverage against requirements because it never understood them.</w:t>
      </w:r>
    </w:p>
    <w:p>
      <w:pPr>
        <w:pStyle w:val="Heading3"/>
        <w:spacing w:after="90" w:before="200"/>
      </w:pPr>
      <w:r>
        <w:rPr>
          <w:rFonts w:ascii="Calibri" w:cs="Calibri" w:eastAsia="Calibri" w:hAnsi="Calibri"/>
          <w:b/>
          <w:bCs/>
          <w:color w:val="404040"/>
          <w:sz w:val="22"/>
          <w:szCs w:val="22"/>
        </w:rPr>
        <w:t xml:space="preserve">Faisal — VP Engineering at a scale-up</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Measures everything in engineering throughput; sees QA as a bottleneck to be automated away, not staffed up.</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Cares about pipeline speed: a two-hour regression suite on every merge is unacceptable.</w:t>
      </w:r>
    </w:p>
    <w:p>
      <w:pPr>
        <w:pStyle w:val="ListParagraph"/>
        <w:numPr>
          <w:ilvl w:val="0"/>
          <w:numId w:val="2"/>
        </w:numPr>
        <w:spacing w:after="70" w:line="268"/>
      </w:pPr>
      <w:r>
        <w:rPr>
          <w:rFonts w:ascii="Calibri" w:cs="Calibri" w:eastAsia="Calibri" w:hAnsi="Calibri"/>
          <w:b/>
          <w:bCs/>
          <w:i w:val="false"/>
          <w:iCs w:val="false"/>
          <w:color w:val="262626"/>
          <w:sz w:val="21"/>
          <w:szCs w:val="21"/>
        </w:rPr>
        <w:t xml:space="preserve">Buying trigger: </w:t>
      </w:r>
      <w:r>
        <w:rPr>
          <w:rFonts w:ascii="Calibri" w:cs="Calibri" w:eastAsia="Calibri" w:hAnsi="Calibri"/>
          <w:b w:val="false"/>
          <w:bCs w:val="false"/>
          <w:i w:val="false"/>
          <w:iCs w:val="false"/>
          <w:color w:val="262626"/>
          <w:sz w:val="21"/>
          <w:szCs w:val="21"/>
        </w:rPr>
        <w:t xml:space="preserve">release velocity dropping because the regression suite became unreliable.</w:t>
      </w:r>
    </w:p>
    <w:p>
      <w:pPr>
        <w:pStyle w:val="ListParagraph"/>
        <w:numPr>
          <w:ilvl w:val="0"/>
          <w:numId w:val="2"/>
        </w:numPr>
        <w:spacing w:after="70" w:line="268"/>
      </w:pPr>
      <w:r>
        <w:rPr>
          <w:rFonts w:ascii="Calibri" w:cs="Calibri" w:eastAsia="Calibri" w:hAnsi="Calibri"/>
          <w:b/>
          <w:bCs/>
          <w:i w:val="false"/>
          <w:iCs w:val="false"/>
          <w:color w:val="262626"/>
          <w:sz w:val="21"/>
          <w:szCs w:val="21"/>
        </w:rPr>
        <w:t xml:space="preserve">What he needs from v2: </w:t>
      </w:r>
      <w:r>
        <w:rPr>
          <w:rFonts w:ascii="Calibri" w:cs="Calibri" w:eastAsia="Calibri" w:hAnsi="Calibri"/>
          <w:b w:val="false"/>
          <w:bCs w:val="false"/>
          <w:i w:val="false"/>
          <w:iCs w:val="false"/>
          <w:color w:val="262626"/>
          <w:sz w:val="21"/>
          <w:szCs w:val="21"/>
        </w:rPr>
        <w:t xml:space="preserve">risk-based test selection so the pipeline runs the 8% of tests the change can affect, flakiness quarantine, and self-healing so maintenance stops consuming engineer time.</w:t>
      </w:r>
    </w:p>
    <w:p>
      <w:pPr>
        <w:pStyle w:val="ListParagraph"/>
        <w:numPr>
          <w:ilvl w:val="0"/>
          <w:numId w:val="2"/>
        </w:numPr>
        <w:spacing w:after="70" w:line="268"/>
      </w:pPr>
      <w:r>
        <w:rPr>
          <w:rFonts w:ascii="Calibri" w:cs="Calibri" w:eastAsia="Calibri" w:hAnsi="Calibri"/>
          <w:b/>
          <w:bCs/>
          <w:i w:val="false"/>
          <w:iCs w:val="false"/>
          <w:color w:val="262626"/>
          <w:sz w:val="21"/>
          <w:szCs w:val="21"/>
        </w:rPr>
        <w:t xml:space="preserve">Objection: </w:t>
      </w:r>
      <w:r>
        <w:rPr>
          <w:rFonts w:ascii="Calibri" w:cs="Calibri" w:eastAsia="Calibri" w:hAnsi="Calibri"/>
          <w:b w:val="false"/>
          <w:bCs w:val="false"/>
          <w:i w:val="false"/>
          <w:iCs w:val="false"/>
          <w:color w:val="262626"/>
          <w:sz w:val="21"/>
          <w:szCs w:val="21"/>
        </w:rPr>
        <w:t xml:space="preserve">"Will an AI-selected subset miss a regression?" Requires published selection accuracy and a full-suite fallback on a schedule.</w:t>
      </w:r>
    </w:p>
    <w:p>
      <w:pPr>
        <w:pStyle w:val="Heading3"/>
        <w:spacing w:after="90" w:before="200"/>
      </w:pPr>
      <w:r>
        <w:rPr>
          <w:rFonts w:ascii="Calibri" w:cs="Calibri" w:eastAsia="Calibri" w:hAnsi="Calibri"/>
          <w:b/>
          <w:bCs/>
          <w:color w:val="404040"/>
          <w:sz w:val="22"/>
          <w:szCs w:val="22"/>
        </w:rPr>
        <w:t xml:space="preserve">Mohammed — Release Manager at a government platform</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Coordinates release sign-off across development, QA, security and business owners.</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Currently assembles sign-off evidence from four tools and a shared drive.</w:t>
      </w:r>
    </w:p>
    <w:p>
      <w:pPr>
        <w:pStyle w:val="ListParagraph"/>
        <w:numPr>
          <w:ilvl w:val="0"/>
          <w:numId w:val="2"/>
        </w:numPr>
        <w:spacing w:after="70" w:line="268"/>
      </w:pPr>
      <w:r>
        <w:rPr>
          <w:rFonts w:ascii="Calibri" w:cs="Calibri" w:eastAsia="Calibri" w:hAnsi="Calibri"/>
          <w:b/>
          <w:bCs/>
          <w:i w:val="false"/>
          <w:iCs w:val="false"/>
          <w:color w:val="262626"/>
          <w:sz w:val="21"/>
          <w:szCs w:val="21"/>
        </w:rPr>
        <w:t xml:space="preserve">What he needs from v2: </w:t>
      </w:r>
      <w:r>
        <w:rPr>
          <w:rFonts w:ascii="Calibri" w:cs="Calibri" w:eastAsia="Calibri" w:hAnsi="Calibri"/>
          <w:b w:val="false"/>
          <w:bCs w:val="false"/>
          <w:i w:val="false"/>
          <w:iCs w:val="false"/>
          <w:color w:val="262626"/>
          <w:sz w:val="21"/>
          <w:szCs w:val="21"/>
        </w:rPr>
        <w:t xml:space="preserve">a release object with entry and exit criteria, an automatic gate on those criteria, and a single evidence pack at the end.</w:t>
      </w:r>
    </w:p>
    <w:p>
      <w:pPr>
        <w:pStyle w:val="Heading3"/>
        <w:spacing w:after="90" w:before="200"/>
      </w:pPr>
      <w:r>
        <w:rPr>
          <w:rFonts w:ascii="Calibri" w:cs="Calibri" w:eastAsia="Calibri" w:hAnsi="Calibri"/>
          <w:b/>
          <w:bCs/>
          <w:color w:val="404040"/>
          <w:sz w:val="22"/>
          <w:szCs w:val="22"/>
        </w:rPr>
        <w:t xml:space="preserve">Hessa — Internal Audit / Compliance Officer</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Does not use the product daily but can block its purchase.</w:t>
      </w:r>
    </w:p>
    <w:p>
      <w:pPr>
        <w:pStyle w:val="ListParagraph"/>
        <w:numPr>
          <w:ilvl w:val="0"/>
          <w:numId w:val="2"/>
        </w:numPr>
        <w:spacing w:after="70" w:line="268"/>
      </w:pPr>
      <w:r>
        <w:rPr>
          <w:rFonts w:ascii="Calibri" w:cs="Calibri" w:eastAsia="Calibri" w:hAnsi="Calibri"/>
          <w:b/>
          <w:bCs/>
          <w:i w:val="false"/>
          <w:iCs w:val="false"/>
          <w:color w:val="262626"/>
          <w:sz w:val="21"/>
          <w:szCs w:val="21"/>
        </w:rPr>
        <w:t xml:space="preserve">What she needs from v2: </w:t>
      </w:r>
      <w:r>
        <w:rPr>
          <w:rFonts w:ascii="Calibri" w:cs="Calibri" w:eastAsia="Calibri" w:hAnsi="Calibri"/>
          <w:b w:val="false"/>
          <w:bCs w:val="false"/>
          <w:i w:val="false"/>
          <w:iCs w:val="false"/>
          <w:color w:val="262626"/>
          <w:sz w:val="21"/>
          <w:szCs w:val="21"/>
        </w:rPr>
        <w:t xml:space="preserve">immutable audit trails, evidence that access control is enforced, documented data residency, retention controls, and an export she can archive independently of the vendor.</w:t>
      </w:r>
    </w:p>
    <w:p>
      <w:pPr>
        <w:pStyle w:val="ListParagraph"/>
        <w:numPr>
          <w:ilvl w:val="0"/>
          <w:numId w:val="2"/>
        </w:numPr>
        <w:spacing w:after="70" w:line="268"/>
      </w:pPr>
      <w:r>
        <w:rPr>
          <w:rFonts w:ascii="Calibri" w:cs="Calibri" w:eastAsia="Calibri" w:hAnsi="Calibri"/>
          <w:b/>
          <w:bCs/>
          <w:i w:val="false"/>
          <w:iCs w:val="false"/>
          <w:color w:val="262626"/>
          <w:sz w:val="21"/>
          <w:szCs w:val="21"/>
        </w:rPr>
        <w:t xml:space="preserve">Note: </w:t>
      </w:r>
      <w:r>
        <w:rPr>
          <w:rFonts w:ascii="Calibri" w:cs="Calibri" w:eastAsia="Calibri" w:hAnsi="Calibri"/>
          <w:b w:val="false"/>
          <w:bCs w:val="false"/>
          <w:i w:val="false"/>
          <w:iCs w:val="false"/>
          <w:color w:val="262626"/>
          <w:sz w:val="21"/>
          <w:szCs w:val="21"/>
        </w:rPr>
        <w:t xml:space="preserve">this persona is the reason pillar P4 is not optional. A product that cannot pass her review cannot be sold into the highest-value segment regardless of how good its testing is.</w:t>
      </w:r>
    </w:p>
    <w:p>
      <w:pPr>
        <w:pStyle w:val="Heading3"/>
        <w:spacing w:after="90" w:before="200"/>
      </w:pPr>
      <w:r>
        <w:rPr>
          <w:rFonts w:ascii="Calibri" w:cs="Calibri" w:eastAsia="Calibri" w:hAnsi="Calibri"/>
          <w:b/>
          <w:bCs/>
          <w:color w:val="404040"/>
          <w:sz w:val="22"/>
          <w:szCs w:val="22"/>
        </w:rPr>
        <w:t xml:space="preserve">Turki — Delivery Manager at a system integrator</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Runs fourteen client projects with rotating staff and inconsistent QA practice across teams.</w:t>
      </w:r>
    </w:p>
    <w:p>
      <w:pPr>
        <w:pStyle w:val="ListParagraph"/>
        <w:numPr>
          <w:ilvl w:val="0"/>
          <w:numId w:val="2"/>
        </w:numPr>
        <w:spacing w:after="70" w:line="268"/>
      </w:pPr>
      <w:r>
        <w:rPr>
          <w:rFonts w:ascii="Calibri" w:cs="Calibri" w:eastAsia="Calibri" w:hAnsi="Calibri"/>
          <w:b/>
          <w:bCs/>
          <w:i w:val="false"/>
          <w:iCs w:val="false"/>
          <w:color w:val="262626"/>
          <w:sz w:val="21"/>
          <w:szCs w:val="21"/>
        </w:rPr>
        <w:t xml:space="preserve">What he needs from v2: </w:t>
      </w:r>
      <w:r>
        <w:rPr>
          <w:rFonts w:ascii="Calibri" w:cs="Calibri" w:eastAsia="Calibri" w:hAnsi="Calibri"/>
          <w:b w:val="false"/>
          <w:bCs w:val="false"/>
          <w:i w:val="false"/>
          <w:iCs w:val="false"/>
          <w:color w:val="262626"/>
          <w:sz w:val="21"/>
          <w:szCs w:val="21"/>
        </w:rPr>
        <w:t xml:space="preserve">portfolio view across clients, standardised process templates, per-client data isolation, and contractual quality reporting he can attach to an invoice.</w:t>
      </w:r>
    </w:p>
    <w:p>
      <w:pPr>
        <w:pStyle w:val="ListParagraph"/>
        <w:numPr>
          <w:ilvl w:val="0"/>
          <w:numId w:val="2"/>
        </w:numPr>
        <w:spacing w:after="70" w:line="268"/>
      </w:pPr>
      <w:r>
        <w:rPr>
          <w:rFonts w:ascii="Calibri" w:cs="Calibri" w:eastAsia="Calibri" w:hAnsi="Calibri"/>
          <w:b/>
          <w:bCs/>
          <w:i w:val="false"/>
          <w:iCs w:val="false"/>
          <w:color w:val="262626"/>
          <w:sz w:val="21"/>
          <w:szCs w:val="21"/>
        </w:rPr>
        <w:t xml:space="preserve">Why he matters commercially: </w:t>
      </w:r>
      <w:r>
        <w:rPr>
          <w:rFonts w:ascii="Calibri" w:cs="Calibri" w:eastAsia="Calibri" w:hAnsi="Calibri"/>
          <w:b w:val="false"/>
          <w:bCs w:val="false"/>
          <w:i w:val="false"/>
          <w:iCs w:val="false"/>
          <w:color w:val="262626"/>
          <w:sz w:val="21"/>
          <w:szCs w:val="21"/>
        </w:rPr>
        <w:t xml:space="preserve">he is simultaneously a large-seat customer and a distribution channel into accounts that would take direct sales years to reach.</w:t>
      </w:r>
    </w:p>
    <w:p>
      <w:pPr>
        <w:pStyle w:val="Heading1"/>
        <w:pageBreakBefore/>
        <w:spacing w:after="160" w:before="360"/>
      </w:pPr>
      <w:r>
        <w:rPr>
          <w:rFonts w:ascii="Calibri" w:cs="Calibri" w:eastAsia="Calibri" w:hAnsi="Calibri"/>
          <w:b/>
          <w:bCs/>
          <w:color w:val="1F4E79"/>
          <w:sz w:val="30"/>
          <w:szCs w:val="30"/>
        </w:rPr>
        <w:t xml:space="preserve">7. Product Pillars in Detail</w:t>
      </w:r>
    </w:p>
    <w:p>
      <w:pPr>
        <w:pStyle w:val="Heading2"/>
        <w:spacing w:after="110" w:before="260"/>
      </w:pPr>
      <w:r>
        <w:rPr>
          <w:rFonts w:ascii="Calibri" w:cs="Calibri" w:eastAsia="Calibri" w:hAnsi="Calibri"/>
          <w:b/>
          <w:bCs/>
          <w:color w:val="2E75B6"/>
          <w:sz w:val="25"/>
          <w:szCs w:val="25"/>
        </w:rPr>
        <w:t xml:space="preserve">7.1 Pillar P1 — Full-stack test coverage</w:t>
      </w:r>
    </w:p>
    <w:p>
      <w:pPr>
        <w:spacing w:after="120" w:line="276"/>
      </w:pPr>
      <w:r>
        <w:rPr>
          <w:rFonts w:ascii="Calibri" w:cs="Calibri" w:eastAsia="Calibri" w:hAnsi="Calibri"/>
          <w:b w:val="false"/>
          <w:bCs w:val="false"/>
          <w:i w:val="false"/>
          <w:iCs w:val="false"/>
          <w:color w:val="262626"/>
          <w:sz w:val="21"/>
          <w:szCs w:val="21"/>
        </w:rPr>
        <w:t xml:space="preserve">Extends verification from the API surface to everything a requirement can describe.</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674"/>
        <w:gridCol w:w="3744"/>
        <w:gridCol w:w="2942"/>
      </w:tblGrid>
      <w:tr>
        <w:trPr>
          <w:tblHeader/>
        </w:trPr>
        <w:tc>
          <w:tcPr>
            <w:tcW w:type="dxa" w:w="267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Capability</w:t>
            </w:r>
          </w:p>
        </w:tc>
        <w:tc>
          <w:tcPr>
            <w:tcW w:type="dxa" w:w="374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What it does for the user</w:t>
            </w:r>
          </w:p>
        </w:tc>
        <w:tc>
          <w:tcPr>
            <w:tcW w:type="dxa" w:w="2942"/>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Why it matters commercially</w:t>
            </w:r>
          </w:p>
        </w:tc>
      </w:tr>
      <w:tr>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UI functional testing</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Generates and executes browser tests for screens, forms, validation and navigation, linked to the same requirements as API tests.</w:t>
            </w:r>
          </w:p>
        </w:tc>
        <w:tc>
          <w:tcPr>
            <w:tcW w:type="dxa" w:w="29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Without it, coverage against a requirements document can never be complete — which undermines the core claim.</w:t>
            </w:r>
          </w:p>
        </w:tc>
      </w:tr>
      <w:tr>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Self-healing locators</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When the interface changes, locators repair themselves from multiple signals and the change is logged for review.</w:t>
            </w:r>
          </w:p>
        </w:tc>
        <w:tc>
          <w:tcPr>
            <w:tcW w:type="dxa" w:w="29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UI test maintenance is the single largest reason UI automation is abandoned. This is the feature that makes P1 survivable.</w:t>
            </w:r>
          </w:p>
        </w:tc>
      </w:tr>
      <w:tr>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Traffic-based API discovery</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Builds an endpoint inventory by observing real traffic where no specification exists.</w:t>
            </w:r>
          </w:p>
        </w:tc>
        <w:tc>
          <w:tcPr>
            <w:tcW w:type="dxa" w:w="29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Removes the OpenAPI prerequisite that caps v1 addressability — the largest single expansion of the addressable market.</w:t>
            </w:r>
          </w:p>
        </w:tc>
      </w:tr>
      <w:tr>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Visual regression</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Detects unintended visual change with layout-aware comparison and tolerance rules.</w:t>
            </w:r>
          </w:p>
        </w:tc>
        <w:tc>
          <w:tcPr>
            <w:tcW w:type="dxa" w:w="29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Catches an entire defect class no functional assertion sees.</w:t>
            </w:r>
          </w:p>
        </w:tc>
      </w:tr>
      <w:tr>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RTL and localisation validation</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Detects mirroring failures, truncation, mixed-direction breakage, untranslated strings, and numeral and date format errors.</w:t>
            </w:r>
          </w:p>
        </w:tc>
        <w:tc>
          <w:tcPr>
            <w:tcW w:type="dxa" w:w="29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The differentiator competitors treat as an add-on. In this market it is the most demonstrable "they cannot do this" moment.</w:t>
            </w:r>
          </w:p>
        </w:tc>
      </w:tr>
      <w:tr>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Accessibility auditing</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Automated WCAG checks per screen, linked to requirements and reported as findings.</w:t>
            </w:r>
          </w:p>
        </w:tc>
        <w:tc>
          <w:tcPr>
            <w:tcW w:type="dxa" w:w="29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Increasingly a procurement requirement for government digital services.</w:t>
            </w:r>
          </w:p>
        </w:tc>
      </w:tr>
      <w:tr>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Mobile application testing</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Native and hybrid application testing on device farms or self-hosted devices.</w:t>
            </w:r>
          </w:p>
        </w:tc>
        <w:tc>
          <w:tcPr>
            <w:tcW w:type="dxa" w:w="29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Most government platforms ship a mobile application; excluding it excludes half the delivery.</w:t>
            </w:r>
          </w:p>
        </w:tc>
      </w:tr>
      <w:tr>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Protocol expansion</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GraphQL, SOAP and gRPC in addition to REST.</w:t>
            </w:r>
          </w:p>
        </w:tc>
        <w:tc>
          <w:tcPr>
            <w:tcW w:type="dxa" w:w="29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SOAP in particular is unavoidable in government integration work.</w:t>
            </w:r>
          </w:p>
        </w:tc>
      </w:tr>
    </w:tbl>
    <w:p>
      <w:pPr>
        <w:pStyle w:val="Heading2"/>
        <w:spacing w:after="110" w:before="260"/>
      </w:pPr>
      <w:r>
        <w:rPr>
          <w:rFonts w:ascii="Calibri" w:cs="Calibri" w:eastAsia="Calibri" w:hAnsi="Calibri"/>
          <w:b/>
          <w:bCs/>
          <w:color w:val="2E75B6"/>
          <w:sz w:val="25"/>
          <w:szCs w:val="25"/>
        </w:rPr>
        <w:t xml:space="preserve">7.2 Pillar P2 — Quality lifecycle management</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674"/>
        <w:gridCol w:w="3744"/>
        <w:gridCol w:w="2942"/>
      </w:tblGrid>
      <w:tr>
        <w:trPr>
          <w:tblHeader/>
        </w:trPr>
        <w:tc>
          <w:tcPr>
            <w:tcW w:type="dxa" w:w="267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Capability</w:t>
            </w:r>
          </w:p>
        </w:tc>
        <w:tc>
          <w:tcPr>
            <w:tcW w:type="dxa" w:w="374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What it does for the user</w:t>
            </w:r>
          </w:p>
        </w:tc>
        <w:tc>
          <w:tcPr>
            <w:tcW w:type="dxa" w:w="2942"/>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Why it matters commercially</w:t>
            </w:r>
          </w:p>
        </w:tc>
      </w:tr>
      <w:tr>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Test cycles and plans</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Organise execution into planned cycles with scope, schedule, assignment and progress.</w:t>
            </w:r>
          </w:p>
        </w:tc>
        <w:tc>
          <w:tcPr>
            <w:tcW w:type="dxa" w:w="29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Turns the product from a tool into the place work is organised — the root of retention.</w:t>
            </w:r>
          </w:p>
        </w:tc>
      </w:tr>
      <w:tr>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Release management and gates</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 release object with entry and exit criteria that automatically evaluates whether it may proceed.</w:t>
            </w:r>
          </w:p>
        </w:tc>
        <w:tc>
          <w:tcPr>
            <w:tcW w:type="dxa" w:w="29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Creates the Release Manager persona’s dependency and the executive’s sign-off artefact.</w:t>
            </w:r>
          </w:p>
        </w:tc>
      </w:tr>
      <w:tr>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Defect management</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Raise a defect from a failure with evidence pre-filled, and synchronise bi-directionally with Jira, Xray or Azure DevOps.</w:t>
            </w:r>
          </w:p>
        </w:tc>
        <w:tc>
          <w:tcPr>
            <w:tcW w:type="dxa" w:w="29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Closes the loop; without it the product hands off and loses the thread.</w:t>
            </w:r>
          </w:p>
        </w:tc>
      </w:tr>
      <w:tr>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Test data management</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Managed datasets, synthetic generation, and masking of production-derived data.</w:t>
            </w:r>
          </w:p>
        </w:tc>
        <w:tc>
          <w:tcPr>
            <w:tcW w:type="dxa" w:w="29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Test data is a top-three practical blocker in enterprise QA, and masking is a compliance requirement.</w:t>
            </w:r>
          </w:p>
        </w:tc>
      </w:tr>
      <w:tr>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Service virtualisation</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Simulate unavailable dependencies so testing is not blocked by a third party.</w:t>
            </w:r>
          </w:p>
        </w:tc>
        <w:tc>
          <w:tcPr>
            <w:tcW w:type="dxa" w:w="29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Removes the most common reason a planned test cycle slips.</w:t>
            </w:r>
          </w:p>
        </w:tc>
      </w:tr>
      <w:tr>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Environment management</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Track environment health, ownership, booking and version deployed.</w:t>
            </w:r>
          </w:p>
        </w:tc>
        <w:tc>
          <w:tcPr>
            <w:tcW w:type="dxa" w:w="29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 small feature that solves a daily coordination irritation, which is disproportionately valued.</w:t>
            </w:r>
          </w:p>
        </w:tc>
      </w:tr>
      <w:tr>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Compliance evidence packs</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One signed, exportable bundle per release: requirements, coverage, results, approvals, defects, audit trail.</w:t>
            </w:r>
          </w:p>
        </w:tc>
        <w:tc>
          <w:tcPr>
            <w:tcW w:type="dxa" w:w="29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The artefact that converts the Compliance persona from a blocker into an advocate.</w:t>
            </w:r>
          </w:p>
        </w:tc>
      </w:tr>
    </w:tbl>
    <w:p>
      <w:pPr>
        <w:pStyle w:val="Heading2"/>
        <w:spacing w:after="110" w:before="260"/>
      </w:pPr>
      <w:r>
        <w:rPr>
          <w:rFonts w:ascii="Calibri" w:cs="Calibri" w:eastAsia="Calibri" w:hAnsi="Calibri"/>
          <w:b/>
          <w:bCs/>
          <w:color w:val="2E75B6"/>
          <w:sz w:val="25"/>
          <w:szCs w:val="25"/>
        </w:rPr>
        <w:t xml:space="preserve">7.3 Pillar P3 — Applied intelligence</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674"/>
        <w:gridCol w:w="3744"/>
        <w:gridCol w:w="2942"/>
      </w:tblGrid>
      <w:tr>
        <w:trPr>
          <w:tblHeader/>
        </w:trPr>
        <w:tc>
          <w:tcPr>
            <w:tcW w:type="dxa" w:w="267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Capability</w:t>
            </w:r>
          </w:p>
        </w:tc>
        <w:tc>
          <w:tcPr>
            <w:tcW w:type="dxa" w:w="374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What it does for the user</w:t>
            </w:r>
          </w:p>
        </w:tc>
        <w:tc>
          <w:tcPr>
            <w:tcW w:type="dxa" w:w="2942"/>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Why it matters commercially</w:t>
            </w:r>
          </w:p>
        </w:tc>
      </w:tr>
      <w:tr>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QA Copilot</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Answers questions grounded in the project’s own requirements, tests, runs and defects — "what is not covered in the payments module", "why did this fail last night".</w:t>
            </w:r>
          </w:p>
        </w:tc>
        <w:tc>
          <w:tcPr>
            <w:tcW w:type="dxa" w:w="29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Converts the platform’s data into daily utility, and is the most demonstrable feature in a sales meeting.</w:t>
            </w:r>
          </w:p>
        </w:tc>
      </w:tr>
      <w:tr>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Autonomous exploratory agent</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Explores the application within defined boundaries, finds unhandled states and proposes new cases for review.</w:t>
            </w:r>
          </w:p>
        </w:tc>
        <w:tc>
          <w:tcPr>
            <w:tcW w:type="dxa" w:w="29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Finds defects no requirement described — the "it found something we did not know" moment that closes deals.</w:t>
            </w:r>
          </w:p>
        </w:tc>
      </w:tr>
      <w:tr>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Maintenance agent</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Detects tests broken by legitimate change and proposes repairs for approval.</w:t>
            </w:r>
          </w:p>
        </w:tc>
        <w:tc>
          <w:tcPr>
            <w:tcW w:type="dxa" w:w="29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Attacks the cost that kills automation programmes.</w:t>
            </w:r>
          </w:p>
        </w:tc>
      </w:tr>
      <w:tr>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Root cause analysis</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Correlates failures across cases, steps, environment and recent changes and proposes probable cause.</w:t>
            </w:r>
          </w:p>
        </w:tc>
        <w:tc>
          <w:tcPr>
            <w:tcW w:type="dxa" w:w="29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Reduces triage time, the least popular task in QA.</w:t>
            </w:r>
          </w:p>
        </w:tc>
      </w:tr>
      <w:tr>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Flakiness detection and quarantine</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Statistically identifies unreliable tests, quarantines them and tracks remediation.</w:t>
            </w:r>
          </w:p>
        </w:tc>
        <w:tc>
          <w:tcPr>
            <w:tcW w:type="dxa" w:w="29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Restores trust in the suite; a red build that means nothing is worse than no build.</w:t>
            </w:r>
          </w:p>
        </w:tc>
      </w:tr>
      <w:tr>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Risk-based test selection</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Maps code changes to affected requirements and tests, and selects the minimal high-value subset for a pipeline run.</w:t>
            </w:r>
          </w:p>
        </w:tc>
        <w:tc>
          <w:tcPr>
            <w:tcW w:type="dxa" w:w="29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Turns a two-hour regression into eight minutes — the feature the VP Engineering persona buys.</w:t>
            </w:r>
          </w:p>
        </w:tc>
      </w:tr>
      <w:tr>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Predictive quality signals</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Flags requirements and modules with elevated defect probability based on history, churn and coverage.</w:t>
            </w:r>
          </w:p>
        </w:tc>
        <w:tc>
          <w:tcPr>
            <w:tcW w:type="dxa" w:w="29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Moves the conversation from reporting the past to directing effort.</w:t>
            </w:r>
          </w:p>
        </w:tc>
      </w:tr>
    </w:tbl>
    <w:p>
      <w:pPr>
        <w:pStyle w:val="Heading2"/>
        <w:spacing w:after="110" w:before="260"/>
      </w:pPr>
      <w:r>
        <w:rPr>
          <w:rFonts w:ascii="Calibri" w:cs="Calibri" w:eastAsia="Calibri" w:hAnsi="Calibri"/>
          <w:b/>
          <w:bCs/>
          <w:color w:val="2E75B6"/>
          <w:sz w:val="25"/>
          <w:szCs w:val="25"/>
        </w:rPr>
        <w:t xml:space="preserve">7.4 Pillar P4 — Enterprise governance and analytics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674"/>
        <w:gridCol w:w="3744"/>
        <w:gridCol w:w="2942"/>
      </w:tblGrid>
      <w:tr>
        <w:trPr>
          <w:tblHeader/>
        </w:trPr>
        <w:tc>
          <w:tcPr>
            <w:tcW w:type="dxa" w:w="267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Capability</w:t>
            </w:r>
          </w:p>
        </w:tc>
        <w:tc>
          <w:tcPr>
            <w:tcW w:type="dxa" w:w="374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What it does for the user</w:t>
            </w:r>
          </w:p>
        </w:tc>
        <w:tc>
          <w:tcPr>
            <w:tcW w:type="dxa" w:w="2942"/>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Why it matters commercially</w:t>
            </w:r>
          </w:p>
        </w:tc>
      </w:tr>
      <w:tr>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Portfolio dashboards</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Quality position across every project in one view, with drill-down.</w:t>
            </w:r>
          </w:p>
        </w:tc>
        <w:tc>
          <w:tcPr>
            <w:tcW w:type="dxa" w:w="29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The Head of Quality persona’s primary screen; the reason the purchase moves up a level.</w:t>
            </w:r>
          </w:p>
        </w:tc>
      </w:tr>
      <w:tr>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Executive quality scorecard</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Coverage, defect density, escape rate, cycle time and risk per project, trended.</w:t>
            </w:r>
          </w:p>
        </w:tc>
        <w:tc>
          <w:tcPr>
            <w:tcW w:type="dxa" w:w="29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Gets the product into a leadership meeting, where budgets are set.</w:t>
            </w:r>
          </w:p>
        </w:tc>
      </w:tr>
      <w:tr>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SSO and SCIM</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Enterprise identity integration and automated provisioning.</w:t>
            </w:r>
          </w:p>
        </w:tc>
        <w:tc>
          <w:tcPr>
            <w:tcW w:type="dxa" w:w="29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 hard procurement requirement above a certain organisation size.</w:t>
            </w:r>
          </w:p>
        </w:tc>
      </w:tr>
      <w:tr>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Custom roles and granular permissions</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Permission sets beyond the four fixed v1 roles, assignable per project.</w:t>
            </w:r>
          </w:p>
        </w:tc>
        <w:tc>
          <w:tcPr>
            <w:tcW w:type="dxa" w:w="29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Required by regulated customers and by SI multi-client structures.</w:t>
            </w:r>
          </w:p>
        </w:tc>
      </w:tr>
      <w:tr>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Multi-entity tenancy</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Group structures with isolated sub-organisations and consolidated reporting.</w:t>
            </w:r>
          </w:p>
        </w:tc>
        <w:tc>
          <w:tcPr>
            <w:tcW w:type="dxa" w:w="29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Enables the SI channel and holding-company customers.</w:t>
            </w:r>
          </w:p>
        </w:tc>
      </w:tr>
      <w:tr>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Audit, retention and legal hold</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Immutable trails, configurable retention, and independent export.</w:t>
            </w:r>
          </w:p>
        </w:tc>
        <w:tc>
          <w:tcPr>
            <w:tcW w:type="dxa" w:w="29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The Compliance persona’s checklist.</w:t>
            </w:r>
          </w:p>
        </w:tc>
      </w:tr>
      <w:tr>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Process templates</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Standard project configurations enforced across teams.</w:t>
            </w:r>
          </w:p>
        </w:tc>
        <w:tc>
          <w:tcPr>
            <w:tcW w:type="dxa" w:w="29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Solves the SI’s consistency problem across rotating staff.</w:t>
            </w:r>
          </w:p>
        </w:tc>
      </w:tr>
    </w:tbl>
    <w:p>
      <w:pPr>
        <w:pStyle w:val="Heading2"/>
        <w:spacing w:after="110" w:before="260"/>
      </w:pPr>
      <w:r>
        <w:rPr>
          <w:rFonts w:ascii="Calibri" w:cs="Calibri" w:eastAsia="Calibri" w:hAnsi="Calibri"/>
          <w:b/>
          <w:bCs/>
          <w:color w:val="2E75B6"/>
          <w:sz w:val="25"/>
          <w:szCs w:val="25"/>
        </w:rPr>
        <w:t xml:space="preserve">7.5 Pillar P5 — Platform and ecosystem</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674"/>
        <w:gridCol w:w="3744"/>
        <w:gridCol w:w="2942"/>
      </w:tblGrid>
      <w:tr>
        <w:trPr>
          <w:tblHeader/>
        </w:trPr>
        <w:tc>
          <w:tcPr>
            <w:tcW w:type="dxa" w:w="267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Capability</w:t>
            </w:r>
          </w:p>
        </w:tc>
        <w:tc>
          <w:tcPr>
            <w:tcW w:type="dxa" w:w="374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What it does for the user</w:t>
            </w:r>
          </w:p>
        </w:tc>
        <w:tc>
          <w:tcPr>
            <w:tcW w:type="dxa" w:w="2942"/>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Why it matters commercially</w:t>
            </w:r>
          </w:p>
        </w:tc>
      </w:tr>
      <w:tr>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Public API and SDKs</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Full programmatic access with client libraries.</w:t>
            </w:r>
          </w:p>
        </w:tc>
        <w:tc>
          <w:tcPr>
            <w:tcW w:type="dxa" w:w="29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Platform teams buy the API, not the interface; also the substrate for every integration.</w:t>
            </w:r>
          </w:p>
        </w:tc>
      </w:tr>
      <w:tr>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CI/CD plugins</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Native integration with GitHub Actions, GitLab CI, Jenkins and Azure Pipelines.</w:t>
            </w:r>
          </w:p>
        </w:tc>
        <w:tc>
          <w:tcPr>
            <w:tcW w:type="dxa" w:w="29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Embeds the product in the daily loop — the strongest retention mechanism available.</w:t>
            </w:r>
          </w:p>
        </w:tc>
      </w:tr>
      <w:tr>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Webhooks and event streams</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Push quality events into customer systems.</w:t>
            </w:r>
          </w:p>
        </w:tc>
        <w:tc>
          <w:tcPr>
            <w:tcW w:type="dxa" w:w="29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Lets enterprises build their own dashboards on our data, which deepens rather than dilutes dependence.</w:t>
            </w:r>
          </w:p>
        </w:tc>
      </w:tr>
      <w:tr>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Extension marketplace</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Third-party and customer-built extensions for custom assertions, reports and integrations.</w:t>
            </w:r>
          </w:p>
        </w:tc>
        <w:tc>
          <w:tcPr>
            <w:tcW w:type="dxa" w:w="29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Offloads long-tail requirements that would otherwise consume the roadmap.</w:t>
            </w:r>
          </w:p>
        </w:tc>
      </w:tr>
      <w:tr>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On-premise and air-gapped distribution</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Packaged, supported deployment including the intelligence layer with a local model.</w:t>
            </w:r>
          </w:p>
        </w:tc>
        <w:tc>
          <w:tcPr>
            <w:tcW w:type="dxa" w:w="29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The property no global competitor will match, and the gate to the highest-value contracts.</w:t>
            </w:r>
          </w:p>
        </w:tc>
      </w:tr>
      <w:tr>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Multi-region and in-Kingdom hosting</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Data residency by deployment region.</w:t>
            </w:r>
          </w:p>
        </w:tc>
        <w:tc>
          <w:tcPr>
            <w:tcW w:type="dxa" w:w="29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Required for GCC expansion and for customers who want managed service without export.</w:t>
            </w:r>
          </w:p>
        </w:tc>
      </w:tr>
    </w:tbl>
    <w:p>
      <w:pPr>
        <w:pStyle w:val="Heading1"/>
        <w:pageBreakBefore/>
        <w:spacing w:after="160" w:before="360"/>
      </w:pPr>
      <w:r>
        <w:rPr>
          <w:rFonts w:ascii="Calibri" w:cs="Calibri" w:eastAsia="Calibri" w:hAnsi="Calibri"/>
          <w:b/>
          <w:bCs/>
          <w:color w:val="1F4E79"/>
          <w:sz w:val="30"/>
          <w:szCs w:val="30"/>
        </w:rPr>
        <w:t xml:space="preserve">8. Business Requirements — Version 2</w:t>
      </w:r>
    </w:p>
    <w:p>
      <w:pPr>
        <w:spacing w:after="120" w:line="276"/>
      </w:pPr>
      <w:r>
        <w:rPr>
          <w:rFonts w:ascii="Calibri" w:cs="Calibri" w:eastAsia="Calibri" w:hAnsi="Calibri"/>
          <w:b w:val="false"/>
          <w:bCs w:val="false"/>
          <w:i w:val="false"/>
          <w:iCs w:val="false"/>
          <w:color w:val="262626"/>
          <w:sz w:val="21"/>
          <w:szCs w:val="21"/>
        </w:rPr>
        <w:t xml:space="preserve">BR-201 onwards. Priority is MoSCoW relative to the v2 programme as a whole; the release train in which each is delivered is given in the final column and detailed in section 15.</w:t>
      </w:r>
    </w:p>
    <w:p>
      <w:pPr>
        <w:pStyle w:val="Heading2"/>
        <w:spacing w:after="110" w:before="260"/>
      </w:pPr>
      <w:r>
        <w:rPr>
          <w:rFonts w:ascii="Calibri" w:cs="Calibri" w:eastAsia="Calibri" w:hAnsi="Calibri"/>
          <w:b/>
          <w:bCs/>
          <w:color w:val="2E75B6"/>
          <w:sz w:val="25"/>
          <w:szCs w:val="25"/>
        </w:rPr>
        <w:t xml:space="preserve">8.1 Pillar P1 — Full-stack coverage</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170"/>
        <w:gridCol w:w="4329"/>
        <w:gridCol w:w="2457"/>
        <w:gridCol w:w="585"/>
        <w:gridCol w:w="819"/>
      </w:tblGrid>
      <w:tr>
        <w:trPr>
          <w:tblHeader/>
        </w:trPr>
        <w:tc>
          <w:tcPr>
            <w:tcW w:type="dxa" w:w="117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ID</w:t>
            </w:r>
          </w:p>
        </w:tc>
        <w:tc>
          <w:tcPr>
            <w:tcW w:type="dxa" w:w="4329"/>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Business requirement</w:t>
            </w:r>
          </w:p>
        </w:tc>
        <w:tc>
          <w:tcPr>
            <w:tcW w:type="dxa" w:w="245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Rationale</w:t>
            </w:r>
          </w:p>
        </w:tc>
        <w:tc>
          <w:tcPr>
            <w:tcW w:type="dxa" w:w="585"/>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Pri</w:t>
            </w:r>
          </w:p>
        </w:tc>
        <w:tc>
          <w:tcPr>
            <w:tcW w:type="dxa" w:w="819"/>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Train</w:t>
            </w:r>
          </w:p>
        </w:tc>
      </w:tr>
      <w:tr>
        <w:tc>
          <w:tcPr>
            <w:tcW w:type="dxa" w:w="117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BR-201</w:t>
            </w:r>
          </w:p>
        </w:tc>
        <w:tc>
          <w:tcPr>
            <w:tcW w:type="dxa" w:w="432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generate and execute UI functional test cases for web applications, linked to requirements on the same basis as API test cases.</w:t>
            </w:r>
          </w:p>
        </w:tc>
        <w:tc>
          <w:tcPr>
            <w:tcW w:type="dxa" w:w="245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Coverage against a requirements document is incomplete without it.</w:t>
            </w:r>
          </w:p>
        </w:tc>
        <w:tc>
          <w:tcPr>
            <w:tcW w:type="dxa" w:w="58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M</w:t>
            </w:r>
          </w:p>
        </w:tc>
        <w:tc>
          <w:tcPr>
            <w:tcW w:type="dxa" w:w="81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17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BR-202</w:t>
            </w:r>
          </w:p>
        </w:tc>
        <w:tc>
          <w:tcPr>
            <w:tcW w:type="dxa" w:w="432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maintain UI test locators automatically when the application changes, and shall record every repair for human review.</w:t>
            </w:r>
          </w:p>
        </w:tc>
        <w:tc>
          <w:tcPr>
            <w:tcW w:type="dxa" w:w="245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UI maintenance cost is the principal cause of automation failure.</w:t>
            </w:r>
          </w:p>
        </w:tc>
        <w:tc>
          <w:tcPr>
            <w:tcW w:type="dxa" w:w="58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M</w:t>
            </w:r>
          </w:p>
        </w:tc>
        <w:tc>
          <w:tcPr>
            <w:tcW w:type="dxa" w:w="81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17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BR-203</w:t>
            </w:r>
          </w:p>
        </w:tc>
        <w:tc>
          <w:tcPr>
            <w:tcW w:type="dxa" w:w="432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discover an API surface by observing live traffic where no specification is available. (Supersedes BR-15.)</w:t>
            </w:r>
          </w:p>
        </w:tc>
        <w:tc>
          <w:tcPr>
            <w:tcW w:type="dxa" w:w="245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Removes the OpenAPI prerequisite capping addressability.</w:t>
            </w:r>
          </w:p>
        </w:tc>
        <w:tc>
          <w:tcPr>
            <w:tcW w:type="dxa" w:w="58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M</w:t>
            </w:r>
          </w:p>
        </w:tc>
        <w:tc>
          <w:tcPr>
            <w:tcW w:type="dxa" w:w="81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17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BR-204</w:t>
            </w:r>
          </w:p>
        </w:tc>
        <w:tc>
          <w:tcPr>
            <w:tcW w:type="dxa" w:w="432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detect unintended visual change between runs, with tolerance and region-exclusion controls.</w:t>
            </w:r>
          </w:p>
        </w:tc>
        <w:tc>
          <w:tcPr>
            <w:tcW w:type="dxa" w:w="245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Covers a defect class functional assertions cannot see.</w:t>
            </w:r>
          </w:p>
        </w:tc>
        <w:tc>
          <w:tcPr>
            <w:tcW w:type="dxa" w:w="58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S</w:t>
            </w:r>
          </w:p>
        </w:tc>
        <w:tc>
          <w:tcPr>
            <w:tcW w:type="dxa" w:w="81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17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BR-205</w:t>
            </w:r>
          </w:p>
        </w:tc>
        <w:tc>
          <w:tcPr>
            <w:tcW w:type="dxa" w:w="432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validate right-to-left layout and localisation correctness, including mirroring, truncation, mixed-direction rendering, untranslated content, and numeral and date formats.</w:t>
            </w:r>
          </w:p>
        </w:tc>
        <w:tc>
          <w:tcPr>
            <w:tcW w:type="dxa" w:w="245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most demonstrable competitive differentiator in this market.</w:t>
            </w:r>
          </w:p>
        </w:tc>
        <w:tc>
          <w:tcPr>
            <w:tcW w:type="dxa" w:w="58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M</w:t>
            </w:r>
          </w:p>
        </w:tc>
        <w:tc>
          <w:tcPr>
            <w:tcW w:type="dxa" w:w="81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17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BR-206</w:t>
            </w:r>
          </w:p>
        </w:tc>
        <w:tc>
          <w:tcPr>
            <w:tcW w:type="dxa" w:w="432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perform automated accessibility auditing against WCAG and report findings against requirements.</w:t>
            </w:r>
          </w:p>
        </w:tc>
        <w:tc>
          <w:tcPr>
            <w:tcW w:type="dxa" w:w="245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Emerging procurement requirement for public digital services.</w:t>
            </w:r>
          </w:p>
        </w:tc>
        <w:tc>
          <w:tcPr>
            <w:tcW w:type="dxa" w:w="58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S</w:t>
            </w:r>
          </w:p>
        </w:tc>
        <w:tc>
          <w:tcPr>
            <w:tcW w:type="dxa" w:w="81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17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BR-207</w:t>
            </w:r>
          </w:p>
        </w:tc>
        <w:tc>
          <w:tcPr>
            <w:tcW w:type="dxa" w:w="432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test native and hybrid mobile applications on physical or virtual devices.</w:t>
            </w:r>
          </w:p>
        </w:tc>
        <w:tc>
          <w:tcPr>
            <w:tcW w:type="dxa" w:w="245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Most target platforms ship a mobile client.</w:t>
            </w:r>
          </w:p>
        </w:tc>
        <w:tc>
          <w:tcPr>
            <w:tcW w:type="dxa" w:w="58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S</w:t>
            </w:r>
          </w:p>
        </w:tc>
        <w:tc>
          <w:tcPr>
            <w:tcW w:type="dxa" w:w="81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17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BR-208</w:t>
            </w:r>
          </w:p>
        </w:tc>
        <w:tc>
          <w:tcPr>
            <w:tcW w:type="dxa" w:w="432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GraphQL, SOAP and gRPC interfaces in addition to REST.</w:t>
            </w:r>
          </w:p>
        </w:tc>
        <w:tc>
          <w:tcPr>
            <w:tcW w:type="dxa" w:w="245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SOAP is unavoidable in government integration estates.</w:t>
            </w:r>
          </w:p>
        </w:tc>
        <w:tc>
          <w:tcPr>
            <w:tcW w:type="dxa" w:w="58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S</w:t>
            </w:r>
          </w:p>
        </w:tc>
        <w:tc>
          <w:tcPr>
            <w:tcW w:type="dxa" w:w="81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17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BR-209</w:t>
            </w:r>
          </w:p>
        </w:tc>
        <w:tc>
          <w:tcPr>
            <w:tcW w:type="dxa" w:w="432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execute tests across multiple browsers and viewport sizes as a configurable matrix.</w:t>
            </w:r>
          </w:p>
        </w:tc>
        <w:tc>
          <w:tcPr>
            <w:tcW w:type="dxa" w:w="245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Baseline expectation for any UI testing product.</w:t>
            </w:r>
          </w:p>
        </w:tc>
        <w:tc>
          <w:tcPr>
            <w:tcW w:type="dxa" w:w="58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M</w:t>
            </w:r>
          </w:p>
        </w:tc>
        <w:tc>
          <w:tcPr>
            <w:tcW w:type="dxa" w:w="81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bl>
    <w:p>
      <w:pPr>
        <w:pStyle w:val="Heading2"/>
        <w:spacing w:after="110" w:before="260"/>
      </w:pPr>
      <w:r>
        <w:rPr>
          <w:rFonts w:ascii="Calibri" w:cs="Calibri" w:eastAsia="Calibri" w:hAnsi="Calibri"/>
          <w:b/>
          <w:bCs/>
          <w:color w:val="2E75B6"/>
          <w:sz w:val="25"/>
          <w:szCs w:val="25"/>
        </w:rPr>
        <w:t xml:space="preserve">8.2 Pillar P2 — Quality lifecycle</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170"/>
        <w:gridCol w:w="4329"/>
        <w:gridCol w:w="2457"/>
        <w:gridCol w:w="585"/>
        <w:gridCol w:w="819"/>
      </w:tblGrid>
      <w:tr>
        <w:trPr>
          <w:tblHeader/>
        </w:trPr>
        <w:tc>
          <w:tcPr>
            <w:tcW w:type="dxa" w:w="117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ID</w:t>
            </w:r>
          </w:p>
        </w:tc>
        <w:tc>
          <w:tcPr>
            <w:tcW w:type="dxa" w:w="4329"/>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Business requirement</w:t>
            </w:r>
          </w:p>
        </w:tc>
        <w:tc>
          <w:tcPr>
            <w:tcW w:type="dxa" w:w="245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Rationale</w:t>
            </w:r>
          </w:p>
        </w:tc>
        <w:tc>
          <w:tcPr>
            <w:tcW w:type="dxa" w:w="585"/>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Pri</w:t>
            </w:r>
          </w:p>
        </w:tc>
        <w:tc>
          <w:tcPr>
            <w:tcW w:type="dxa" w:w="819"/>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Train</w:t>
            </w:r>
          </w:p>
        </w:tc>
      </w:tr>
      <w:tr>
        <w:tc>
          <w:tcPr>
            <w:tcW w:type="dxa" w:w="117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BR-210</w:t>
            </w:r>
          </w:p>
        </w:tc>
        <w:tc>
          <w:tcPr>
            <w:tcW w:type="dxa" w:w="432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planned test cycles with defined scope, schedule, assignment and progress tracking.</w:t>
            </w:r>
          </w:p>
        </w:tc>
        <w:tc>
          <w:tcPr>
            <w:tcW w:type="dxa" w:w="245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Makes the platform the place work is organised.</w:t>
            </w:r>
          </w:p>
        </w:tc>
        <w:tc>
          <w:tcPr>
            <w:tcW w:type="dxa" w:w="58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M</w:t>
            </w:r>
          </w:p>
        </w:tc>
        <w:tc>
          <w:tcPr>
            <w:tcW w:type="dxa" w:w="81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17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BR-211</w:t>
            </w:r>
          </w:p>
        </w:tc>
        <w:tc>
          <w:tcPr>
            <w:tcW w:type="dxa" w:w="432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a release object with configurable entry and exit criteria, and shall evaluate those criteria automatically.</w:t>
            </w:r>
          </w:p>
        </w:tc>
        <w:tc>
          <w:tcPr>
            <w:tcW w:type="dxa" w:w="245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Creates the release governance artefact executives sign.</w:t>
            </w:r>
          </w:p>
        </w:tc>
        <w:tc>
          <w:tcPr>
            <w:tcW w:type="dxa" w:w="58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M</w:t>
            </w:r>
          </w:p>
        </w:tc>
        <w:tc>
          <w:tcPr>
            <w:tcW w:type="dxa" w:w="81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17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BR-212</w:t>
            </w:r>
          </w:p>
        </w:tc>
        <w:tc>
          <w:tcPr>
            <w:tcW w:type="dxa" w:w="432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allow a defect to be raised directly from a test failure with evidence attached automatically.</w:t>
            </w:r>
          </w:p>
        </w:tc>
        <w:tc>
          <w:tcPr>
            <w:tcW w:type="dxa" w:w="245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Closes the loop from failure to fix.</w:t>
            </w:r>
          </w:p>
        </w:tc>
        <w:tc>
          <w:tcPr>
            <w:tcW w:type="dxa" w:w="58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M</w:t>
            </w:r>
          </w:p>
        </w:tc>
        <w:tc>
          <w:tcPr>
            <w:tcW w:type="dxa" w:w="81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17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BR-213</w:t>
            </w:r>
          </w:p>
        </w:tc>
        <w:tc>
          <w:tcPr>
            <w:tcW w:type="dxa" w:w="432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synchronise defects bi-directionally with Jira, Xray and Azure DevOps, including status and comments. (Supersedes BR-17.)</w:t>
            </w:r>
          </w:p>
        </w:tc>
        <w:tc>
          <w:tcPr>
            <w:tcW w:type="dxa" w:w="245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Customers will not abandon their issue tracker; coexistence is mandatory.</w:t>
            </w:r>
          </w:p>
        </w:tc>
        <w:tc>
          <w:tcPr>
            <w:tcW w:type="dxa" w:w="58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M</w:t>
            </w:r>
          </w:p>
        </w:tc>
        <w:tc>
          <w:tcPr>
            <w:tcW w:type="dxa" w:w="81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17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BR-214</w:t>
            </w:r>
          </w:p>
        </w:tc>
        <w:tc>
          <w:tcPr>
            <w:tcW w:type="dxa" w:w="432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manage reusable test datasets, generate synthetic data conforming to schema constraints, and mask personal data in production-derived datasets.</w:t>
            </w:r>
          </w:p>
        </w:tc>
        <w:tc>
          <w:tcPr>
            <w:tcW w:type="dxa" w:w="245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Test data is a top blocker; masking is a PDPL obligation.</w:t>
            </w:r>
          </w:p>
        </w:tc>
        <w:tc>
          <w:tcPr>
            <w:tcW w:type="dxa" w:w="58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M</w:t>
            </w:r>
          </w:p>
        </w:tc>
        <w:tc>
          <w:tcPr>
            <w:tcW w:type="dxa" w:w="81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17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BR-215</w:t>
            </w:r>
          </w:p>
        </w:tc>
        <w:tc>
          <w:tcPr>
            <w:tcW w:type="dxa" w:w="432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simulate unavailable service dependencies so that testing can proceed without them.</w:t>
            </w:r>
          </w:p>
        </w:tc>
        <w:tc>
          <w:tcPr>
            <w:tcW w:type="dxa" w:w="245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Removes the most common cause of cycle slippage.</w:t>
            </w:r>
          </w:p>
        </w:tc>
        <w:tc>
          <w:tcPr>
            <w:tcW w:type="dxa" w:w="58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S</w:t>
            </w:r>
          </w:p>
        </w:tc>
        <w:tc>
          <w:tcPr>
            <w:tcW w:type="dxa" w:w="81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17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BR-216</w:t>
            </w:r>
          </w:p>
        </w:tc>
        <w:tc>
          <w:tcPr>
            <w:tcW w:type="dxa" w:w="432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track test environments including ownership, health, deployed version and booking.</w:t>
            </w:r>
          </w:p>
        </w:tc>
        <w:tc>
          <w:tcPr>
            <w:tcW w:type="dxa" w:w="245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Solves a daily coordination cost disproportionately valued by teams.</w:t>
            </w:r>
          </w:p>
        </w:tc>
        <w:tc>
          <w:tcPr>
            <w:tcW w:type="dxa" w:w="58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S</w:t>
            </w:r>
          </w:p>
        </w:tc>
        <w:tc>
          <w:tcPr>
            <w:tcW w:type="dxa" w:w="81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17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BR-217</w:t>
            </w:r>
          </w:p>
        </w:tc>
        <w:tc>
          <w:tcPr>
            <w:tcW w:type="dxa" w:w="432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produce a per-release compliance evidence pack containing requirements, coverage, results, approvals, defects and audit trail, exportable and independently verifiable.</w:t>
            </w:r>
          </w:p>
        </w:tc>
        <w:tc>
          <w:tcPr>
            <w:tcW w:type="dxa" w:w="245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Converts the compliance persona from blocker to advocate.</w:t>
            </w:r>
          </w:p>
        </w:tc>
        <w:tc>
          <w:tcPr>
            <w:tcW w:type="dxa" w:w="58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M</w:t>
            </w:r>
          </w:p>
        </w:tc>
        <w:tc>
          <w:tcPr>
            <w:tcW w:type="dxa" w:w="81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17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BR-218</w:t>
            </w:r>
          </w:p>
        </w:tc>
        <w:tc>
          <w:tcPr>
            <w:tcW w:type="dxa" w:w="432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review and approval workflows with configurable approvers for test plans and release gates.</w:t>
            </w:r>
          </w:p>
        </w:tc>
        <w:tc>
          <w:tcPr>
            <w:tcW w:type="dxa" w:w="245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Required in regulated and government delivery.</w:t>
            </w:r>
          </w:p>
        </w:tc>
        <w:tc>
          <w:tcPr>
            <w:tcW w:type="dxa" w:w="58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S</w:t>
            </w:r>
          </w:p>
        </w:tc>
        <w:tc>
          <w:tcPr>
            <w:tcW w:type="dxa" w:w="81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bl>
    <w:p>
      <w:pPr>
        <w:pStyle w:val="Heading2"/>
        <w:spacing w:after="110" w:before="260"/>
      </w:pPr>
      <w:r>
        <w:rPr>
          <w:rFonts w:ascii="Calibri" w:cs="Calibri" w:eastAsia="Calibri" w:hAnsi="Calibri"/>
          <w:b/>
          <w:bCs/>
          <w:color w:val="2E75B6"/>
          <w:sz w:val="25"/>
          <w:szCs w:val="25"/>
        </w:rPr>
        <w:t xml:space="preserve">8.3 Pillar P3 — Applied intelligence</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170"/>
        <w:gridCol w:w="4329"/>
        <w:gridCol w:w="2457"/>
        <w:gridCol w:w="585"/>
        <w:gridCol w:w="819"/>
      </w:tblGrid>
      <w:tr>
        <w:trPr>
          <w:tblHeader/>
        </w:trPr>
        <w:tc>
          <w:tcPr>
            <w:tcW w:type="dxa" w:w="117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ID</w:t>
            </w:r>
          </w:p>
        </w:tc>
        <w:tc>
          <w:tcPr>
            <w:tcW w:type="dxa" w:w="4329"/>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Business requirement</w:t>
            </w:r>
          </w:p>
        </w:tc>
        <w:tc>
          <w:tcPr>
            <w:tcW w:type="dxa" w:w="245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Rationale</w:t>
            </w:r>
          </w:p>
        </w:tc>
        <w:tc>
          <w:tcPr>
            <w:tcW w:type="dxa" w:w="585"/>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Pri</w:t>
            </w:r>
          </w:p>
        </w:tc>
        <w:tc>
          <w:tcPr>
            <w:tcW w:type="dxa" w:w="819"/>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Train</w:t>
            </w:r>
          </w:p>
        </w:tc>
      </w:tr>
      <w:tr>
        <w:tc>
          <w:tcPr>
            <w:tcW w:type="dxa" w:w="117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BR-220</w:t>
            </w:r>
          </w:p>
        </w:tc>
        <w:tc>
          <w:tcPr>
            <w:tcW w:type="dxa" w:w="432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provide a conversational assistant that answers questions about the project’s quality state, grounded strictly in that project’s own data.</w:t>
            </w:r>
          </w:p>
        </w:tc>
        <w:tc>
          <w:tcPr>
            <w:tcW w:type="dxa" w:w="245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Daily utility, and the strongest demonstration asset.</w:t>
            </w:r>
          </w:p>
        </w:tc>
        <w:tc>
          <w:tcPr>
            <w:tcW w:type="dxa" w:w="58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M</w:t>
            </w:r>
          </w:p>
        </w:tc>
        <w:tc>
          <w:tcPr>
            <w:tcW w:type="dxa" w:w="81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17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BR-221</w:t>
            </w:r>
          </w:p>
        </w:tc>
        <w:tc>
          <w:tcPr>
            <w:tcW w:type="dxa" w:w="432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assistant shall never assert a fact that cannot be traced to a stored artefact, and shall cite the artefacts underlying every answer.</w:t>
            </w:r>
          </w:p>
        </w:tc>
        <w:tc>
          <w:tcPr>
            <w:tcW w:type="dxa" w:w="245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Extends the v1 grounding rule to the conversational surface; without it, trust collapses.</w:t>
            </w:r>
          </w:p>
        </w:tc>
        <w:tc>
          <w:tcPr>
            <w:tcW w:type="dxa" w:w="58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M</w:t>
            </w:r>
          </w:p>
        </w:tc>
        <w:tc>
          <w:tcPr>
            <w:tcW w:type="dxa" w:w="81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17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BR-222</w:t>
            </w:r>
          </w:p>
        </w:tc>
        <w:tc>
          <w:tcPr>
            <w:tcW w:type="dxa" w:w="432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autonomously explore an application within defined boundaries and propose test cases for previously unexercised states.</w:t>
            </w:r>
          </w:p>
        </w:tc>
        <w:tc>
          <w:tcPr>
            <w:tcW w:type="dxa" w:w="245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Finds what no requirement described — a decisive sales moment.</w:t>
            </w:r>
          </w:p>
        </w:tc>
        <w:tc>
          <w:tcPr>
            <w:tcW w:type="dxa" w:w="58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S</w:t>
            </w:r>
          </w:p>
        </w:tc>
        <w:tc>
          <w:tcPr>
            <w:tcW w:type="dxa" w:w="81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17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BR-223</w:t>
            </w:r>
          </w:p>
        </w:tc>
        <w:tc>
          <w:tcPr>
            <w:tcW w:type="dxa" w:w="432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detect tests broken by legitimate application change and propose repairs for human approval.</w:t>
            </w:r>
          </w:p>
        </w:tc>
        <w:tc>
          <w:tcPr>
            <w:tcW w:type="dxa" w:w="245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Directly attacks the cost that ends automation programmes.</w:t>
            </w:r>
          </w:p>
        </w:tc>
        <w:tc>
          <w:tcPr>
            <w:tcW w:type="dxa" w:w="58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M</w:t>
            </w:r>
          </w:p>
        </w:tc>
        <w:tc>
          <w:tcPr>
            <w:tcW w:type="dxa" w:w="81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17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BR-224</w:t>
            </w:r>
          </w:p>
        </w:tc>
        <w:tc>
          <w:tcPr>
            <w:tcW w:type="dxa" w:w="432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analyse failures across a run and propose probable root causes with supporting evidence.</w:t>
            </w:r>
          </w:p>
        </w:tc>
        <w:tc>
          <w:tcPr>
            <w:tcW w:type="dxa" w:w="245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Triage is the least popular and most repeated QA task.</w:t>
            </w:r>
          </w:p>
        </w:tc>
        <w:tc>
          <w:tcPr>
            <w:tcW w:type="dxa" w:w="58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S</w:t>
            </w:r>
          </w:p>
        </w:tc>
        <w:tc>
          <w:tcPr>
            <w:tcW w:type="dxa" w:w="81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17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BR-225</w:t>
            </w:r>
          </w:p>
        </w:tc>
        <w:tc>
          <w:tcPr>
            <w:tcW w:type="dxa" w:w="432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statistically identify unreliable tests, quarantine them from gating decisions, and track their remediation.</w:t>
            </w:r>
          </w:p>
        </w:tc>
        <w:tc>
          <w:tcPr>
            <w:tcW w:type="dxa" w:w="245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A suite nobody trusts is worse than no suite.</w:t>
            </w:r>
          </w:p>
        </w:tc>
        <w:tc>
          <w:tcPr>
            <w:tcW w:type="dxa" w:w="58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M</w:t>
            </w:r>
          </w:p>
        </w:tc>
        <w:tc>
          <w:tcPr>
            <w:tcW w:type="dxa" w:w="81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17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BR-226</w:t>
            </w:r>
          </w:p>
        </w:tc>
        <w:tc>
          <w:tcPr>
            <w:tcW w:type="dxa" w:w="432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determine which requirements and tests are affected by a given code change and select a minimal high-value subset for execution.</w:t>
            </w:r>
          </w:p>
        </w:tc>
        <w:tc>
          <w:tcPr>
            <w:tcW w:type="dxa" w:w="245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Converts a multi-hour regression into a pipeline-compatible run.</w:t>
            </w:r>
          </w:p>
        </w:tc>
        <w:tc>
          <w:tcPr>
            <w:tcW w:type="dxa" w:w="58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M</w:t>
            </w:r>
          </w:p>
        </w:tc>
        <w:tc>
          <w:tcPr>
            <w:tcW w:type="dxa" w:w="81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17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BR-227</w:t>
            </w:r>
          </w:p>
        </w:tc>
        <w:tc>
          <w:tcPr>
            <w:tcW w:type="dxa" w:w="432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indicate requirements and modules with elevated defect likelihood, based on history, change frequency and coverage.</w:t>
            </w:r>
          </w:p>
        </w:tc>
        <w:tc>
          <w:tcPr>
            <w:tcW w:type="dxa" w:w="245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Directs effort rather than merely reporting.</w:t>
            </w:r>
          </w:p>
        </w:tc>
        <w:tc>
          <w:tcPr>
            <w:tcW w:type="dxa" w:w="58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C</w:t>
            </w:r>
          </w:p>
        </w:tc>
        <w:tc>
          <w:tcPr>
            <w:tcW w:type="dxa" w:w="81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2.3</w:t>
            </w:r>
          </w:p>
        </w:tc>
      </w:tr>
      <w:tr>
        <w:tc>
          <w:tcPr>
            <w:tcW w:type="dxa" w:w="117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BR-228</w:t>
            </w:r>
          </w:p>
        </w:tc>
        <w:tc>
          <w:tcPr>
            <w:tcW w:type="dxa" w:w="432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Every autonomous action shall be recorded, attributable, reversible and subject to human approval before affecting an approved artefact.</w:t>
            </w:r>
          </w:p>
        </w:tc>
        <w:tc>
          <w:tcPr>
            <w:tcW w:type="dxa" w:w="245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Autonomy without accountability is unsellable to this market.</w:t>
            </w:r>
          </w:p>
        </w:tc>
        <w:tc>
          <w:tcPr>
            <w:tcW w:type="dxa" w:w="58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M</w:t>
            </w:r>
          </w:p>
        </w:tc>
        <w:tc>
          <w:tcPr>
            <w:tcW w:type="dxa" w:w="81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bl>
    <w:p>
      <w:pPr>
        <w:pStyle w:val="Heading2"/>
        <w:spacing w:after="110" w:before="260"/>
      </w:pPr>
      <w:r>
        <w:rPr>
          <w:rFonts w:ascii="Calibri" w:cs="Calibri" w:eastAsia="Calibri" w:hAnsi="Calibri"/>
          <w:b/>
          <w:bCs/>
          <w:color w:val="2E75B6"/>
          <w:sz w:val="25"/>
          <w:szCs w:val="25"/>
        </w:rPr>
        <w:t xml:space="preserve">8.4 Pillar P4 — Enterprise governance</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170"/>
        <w:gridCol w:w="4329"/>
        <w:gridCol w:w="2457"/>
        <w:gridCol w:w="585"/>
        <w:gridCol w:w="819"/>
      </w:tblGrid>
      <w:tr>
        <w:trPr>
          <w:tblHeader/>
        </w:trPr>
        <w:tc>
          <w:tcPr>
            <w:tcW w:type="dxa" w:w="117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ID</w:t>
            </w:r>
          </w:p>
        </w:tc>
        <w:tc>
          <w:tcPr>
            <w:tcW w:type="dxa" w:w="4329"/>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Business requirement</w:t>
            </w:r>
          </w:p>
        </w:tc>
        <w:tc>
          <w:tcPr>
            <w:tcW w:type="dxa" w:w="245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Rationale</w:t>
            </w:r>
          </w:p>
        </w:tc>
        <w:tc>
          <w:tcPr>
            <w:tcW w:type="dxa" w:w="585"/>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Pri</w:t>
            </w:r>
          </w:p>
        </w:tc>
        <w:tc>
          <w:tcPr>
            <w:tcW w:type="dxa" w:w="819"/>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Train</w:t>
            </w:r>
          </w:p>
        </w:tc>
      </w:tr>
      <w:tr>
        <w:tc>
          <w:tcPr>
            <w:tcW w:type="dxa" w:w="117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BR-230</w:t>
            </w:r>
          </w:p>
        </w:tc>
        <w:tc>
          <w:tcPr>
            <w:tcW w:type="dxa" w:w="432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provide portfolio dashboards presenting quality position across all projects in an organisation, with drill-down.</w:t>
            </w:r>
          </w:p>
        </w:tc>
        <w:tc>
          <w:tcPr>
            <w:tcW w:type="dxa" w:w="245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economic buyer’s primary screen.</w:t>
            </w:r>
          </w:p>
        </w:tc>
        <w:tc>
          <w:tcPr>
            <w:tcW w:type="dxa" w:w="58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M</w:t>
            </w:r>
          </w:p>
        </w:tc>
        <w:tc>
          <w:tcPr>
            <w:tcW w:type="dxa" w:w="81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17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BR-231</w:t>
            </w:r>
          </w:p>
        </w:tc>
        <w:tc>
          <w:tcPr>
            <w:tcW w:type="dxa" w:w="432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produce an executive quality scorecard with trended coverage, defect density, escape rate, cycle time and risk.</w:t>
            </w:r>
          </w:p>
        </w:tc>
        <w:tc>
          <w:tcPr>
            <w:tcW w:type="dxa" w:w="245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Gets the product into leadership meetings.</w:t>
            </w:r>
          </w:p>
        </w:tc>
        <w:tc>
          <w:tcPr>
            <w:tcW w:type="dxa" w:w="58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M</w:t>
            </w:r>
          </w:p>
        </w:tc>
        <w:tc>
          <w:tcPr>
            <w:tcW w:type="dxa" w:w="81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17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BR-232</w:t>
            </w:r>
          </w:p>
        </w:tc>
        <w:tc>
          <w:tcPr>
            <w:tcW w:type="dxa" w:w="432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integrate with enterprise identity providers via SAML and OIDC, and shall support automated user provisioning via SCIM.</w:t>
            </w:r>
          </w:p>
        </w:tc>
        <w:tc>
          <w:tcPr>
            <w:tcW w:type="dxa" w:w="245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Hard procurement requirement above a size threshold.</w:t>
            </w:r>
          </w:p>
        </w:tc>
        <w:tc>
          <w:tcPr>
            <w:tcW w:type="dxa" w:w="58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M</w:t>
            </w:r>
          </w:p>
        </w:tc>
        <w:tc>
          <w:tcPr>
            <w:tcW w:type="dxa" w:w="81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17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BR-233</w:t>
            </w:r>
          </w:p>
        </w:tc>
        <w:tc>
          <w:tcPr>
            <w:tcW w:type="dxa" w:w="432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custom roles with granular, project-scoped permissions.</w:t>
            </w:r>
          </w:p>
        </w:tc>
        <w:tc>
          <w:tcPr>
            <w:tcW w:type="dxa" w:w="245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Required by regulated and multi-client structures.</w:t>
            </w:r>
          </w:p>
        </w:tc>
        <w:tc>
          <w:tcPr>
            <w:tcW w:type="dxa" w:w="58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M</w:t>
            </w:r>
          </w:p>
        </w:tc>
        <w:tc>
          <w:tcPr>
            <w:tcW w:type="dxa" w:w="81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17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BR-234</w:t>
            </w:r>
          </w:p>
        </w:tc>
        <w:tc>
          <w:tcPr>
            <w:tcW w:type="dxa" w:w="432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multi-entity tenancy: isolated sub-organisations with consolidated reporting.</w:t>
            </w:r>
          </w:p>
        </w:tc>
        <w:tc>
          <w:tcPr>
            <w:tcW w:type="dxa" w:w="245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Enables the SI channel and group customers.</w:t>
            </w:r>
          </w:p>
        </w:tc>
        <w:tc>
          <w:tcPr>
            <w:tcW w:type="dxa" w:w="58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S</w:t>
            </w:r>
          </w:p>
        </w:tc>
        <w:tc>
          <w:tcPr>
            <w:tcW w:type="dxa" w:w="81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17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BR-235</w:t>
            </w:r>
          </w:p>
        </w:tc>
        <w:tc>
          <w:tcPr>
            <w:tcW w:type="dxa" w:w="432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provide immutable audit trails, configurable retention, legal hold, and independent export of all organisation data.</w:t>
            </w:r>
          </w:p>
        </w:tc>
        <w:tc>
          <w:tcPr>
            <w:tcW w:type="dxa" w:w="245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compliance checklist.</w:t>
            </w:r>
          </w:p>
        </w:tc>
        <w:tc>
          <w:tcPr>
            <w:tcW w:type="dxa" w:w="58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M</w:t>
            </w:r>
          </w:p>
        </w:tc>
        <w:tc>
          <w:tcPr>
            <w:tcW w:type="dxa" w:w="81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17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BR-236</w:t>
            </w:r>
          </w:p>
        </w:tc>
        <w:tc>
          <w:tcPr>
            <w:tcW w:type="dxa" w:w="432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allow an organisation to define reusable project templates enforcing standard process configuration.</w:t>
            </w:r>
          </w:p>
        </w:tc>
        <w:tc>
          <w:tcPr>
            <w:tcW w:type="dxa" w:w="245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Solves consistency across rotating delivery teams.</w:t>
            </w:r>
          </w:p>
        </w:tc>
        <w:tc>
          <w:tcPr>
            <w:tcW w:type="dxa" w:w="58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S</w:t>
            </w:r>
          </w:p>
        </w:tc>
        <w:tc>
          <w:tcPr>
            <w:tcW w:type="dxa" w:w="81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17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BR-237</w:t>
            </w:r>
          </w:p>
        </w:tc>
        <w:tc>
          <w:tcPr>
            <w:tcW w:type="dxa" w:w="432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a full Arabic interface and Arabic-language generated content, defect descriptions and exported reports.</w:t>
            </w:r>
          </w:p>
        </w:tc>
        <w:tc>
          <w:tcPr>
            <w:tcW w:type="dxa" w:w="245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Extends the v1 differentiator across the whole enlarged surface.</w:t>
            </w:r>
          </w:p>
        </w:tc>
        <w:tc>
          <w:tcPr>
            <w:tcW w:type="dxa" w:w="58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M</w:t>
            </w:r>
          </w:p>
        </w:tc>
        <w:tc>
          <w:tcPr>
            <w:tcW w:type="dxa" w:w="81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bl>
    <w:p>
      <w:pPr>
        <w:pStyle w:val="Heading2"/>
        <w:spacing w:after="110" w:before="260"/>
      </w:pPr>
      <w:r>
        <w:rPr>
          <w:rFonts w:ascii="Calibri" w:cs="Calibri" w:eastAsia="Calibri" w:hAnsi="Calibri"/>
          <w:b/>
          <w:bCs/>
          <w:color w:val="2E75B6"/>
          <w:sz w:val="25"/>
          <w:szCs w:val="25"/>
        </w:rPr>
        <w:t xml:space="preserve">8.5 Pillar P5 — Platform and ecosystem</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170"/>
        <w:gridCol w:w="4329"/>
        <w:gridCol w:w="2457"/>
        <w:gridCol w:w="585"/>
        <w:gridCol w:w="819"/>
      </w:tblGrid>
      <w:tr>
        <w:trPr>
          <w:tblHeader/>
        </w:trPr>
        <w:tc>
          <w:tcPr>
            <w:tcW w:type="dxa" w:w="117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ID</w:t>
            </w:r>
          </w:p>
        </w:tc>
        <w:tc>
          <w:tcPr>
            <w:tcW w:type="dxa" w:w="4329"/>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Business requirement</w:t>
            </w:r>
          </w:p>
        </w:tc>
        <w:tc>
          <w:tcPr>
            <w:tcW w:type="dxa" w:w="245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Rationale</w:t>
            </w:r>
          </w:p>
        </w:tc>
        <w:tc>
          <w:tcPr>
            <w:tcW w:type="dxa" w:w="585"/>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Pri</w:t>
            </w:r>
          </w:p>
        </w:tc>
        <w:tc>
          <w:tcPr>
            <w:tcW w:type="dxa" w:w="819"/>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Train</w:t>
            </w:r>
          </w:p>
        </w:tc>
      </w:tr>
      <w:tr>
        <w:tc>
          <w:tcPr>
            <w:tcW w:type="dxa" w:w="117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BR-240</w:t>
            </w:r>
          </w:p>
        </w:tc>
        <w:tc>
          <w:tcPr>
            <w:tcW w:type="dxa" w:w="432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expose a complete, versioned public API covering every capability available in the interface.</w:t>
            </w:r>
          </w:p>
        </w:tc>
        <w:tc>
          <w:tcPr>
            <w:tcW w:type="dxa" w:w="245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Platform teams buy the API; it is also the substrate for every integration.</w:t>
            </w:r>
          </w:p>
        </w:tc>
        <w:tc>
          <w:tcPr>
            <w:tcW w:type="dxa" w:w="58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M</w:t>
            </w:r>
          </w:p>
        </w:tc>
        <w:tc>
          <w:tcPr>
            <w:tcW w:type="dxa" w:w="81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17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BR-241</w:t>
            </w:r>
          </w:p>
        </w:tc>
        <w:tc>
          <w:tcPr>
            <w:tcW w:type="dxa" w:w="432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provide official client SDKs and command-line tooling.</w:t>
            </w:r>
          </w:p>
        </w:tc>
        <w:tc>
          <w:tcPr>
            <w:tcW w:type="dxa" w:w="245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Lowers integration cost and signals platform maturity.</w:t>
            </w:r>
          </w:p>
        </w:tc>
        <w:tc>
          <w:tcPr>
            <w:tcW w:type="dxa" w:w="58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S</w:t>
            </w:r>
          </w:p>
        </w:tc>
        <w:tc>
          <w:tcPr>
            <w:tcW w:type="dxa" w:w="81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17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BR-242</w:t>
            </w:r>
          </w:p>
        </w:tc>
        <w:tc>
          <w:tcPr>
            <w:tcW w:type="dxa" w:w="432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provide native CI/CD integrations for GitHub Actions, GitLab CI, Jenkins and Azure Pipelines, including a pipeline quality gate. (Supersedes the v1 deferral of BR-17 CI/CD scope.)</w:t>
            </w:r>
          </w:p>
        </w:tc>
        <w:tc>
          <w:tcPr>
            <w:tcW w:type="dxa" w:w="245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strongest retention mechanism in the product.</w:t>
            </w:r>
          </w:p>
        </w:tc>
        <w:tc>
          <w:tcPr>
            <w:tcW w:type="dxa" w:w="58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M</w:t>
            </w:r>
          </w:p>
        </w:tc>
        <w:tc>
          <w:tcPr>
            <w:tcW w:type="dxa" w:w="81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17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BR-243</w:t>
            </w:r>
          </w:p>
        </w:tc>
        <w:tc>
          <w:tcPr>
            <w:tcW w:type="dxa" w:w="432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emit webhooks and a subscribable event stream for quality events.</w:t>
            </w:r>
          </w:p>
        </w:tc>
        <w:tc>
          <w:tcPr>
            <w:tcW w:type="dxa" w:w="245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Lets customers build on our data, deepening dependence.</w:t>
            </w:r>
          </w:p>
        </w:tc>
        <w:tc>
          <w:tcPr>
            <w:tcW w:type="dxa" w:w="58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S</w:t>
            </w:r>
          </w:p>
        </w:tc>
        <w:tc>
          <w:tcPr>
            <w:tcW w:type="dxa" w:w="81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17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BR-244</w:t>
            </w:r>
          </w:p>
        </w:tc>
        <w:tc>
          <w:tcPr>
            <w:tcW w:type="dxa" w:w="432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installable extensions providing custom assertions, report types and integrations, executed in isolation from platform and tenant data.</w:t>
            </w:r>
          </w:p>
        </w:tc>
        <w:tc>
          <w:tcPr>
            <w:tcW w:type="dxa" w:w="245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Offloads long-tail requirements from the roadmap.</w:t>
            </w:r>
          </w:p>
        </w:tc>
        <w:tc>
          <w:tcPr>
            <w:tcW w:type="dxa" w:w="58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C</w:t>
            </w:r>
          </w:p>
        </w:tc>
        <w:tc>
          <w:tcPr>
            <w:tcW w:type="dxa" w:w="81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2.3</w:t>
            </w:r>
          </w:p>
        </w:tc>
      </w:tr>
      <w:tr>
        <w:tc>
          <w:tcPr>
            <w:tcW w:type="dxa" w:w="117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BR-245</w:t>
            </w:r>
          </w:p>
        </w:tc>
        <w:tc>
          <w:tcPr>
            <w:tcW w:type="dxa" w:w="432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be distributable as a supported on-premise package, including an air-gapped configuration in which the intelligence layer runs on a locally hosted model. (Completes BR-13.)</w:t>
            </w:r>
          </w:p>
        </w:tc>
        <w:tc>
          <w:tcPr>
            <w:tcW w:type="dxa" w:w="245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property no global competitor will match.</w:t>
            </w:r>
          </w:p>
        </w:tc>
        <w:tc>
          <w:tcPr>
            <w:tcW w:type="dxa" w:w="58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M</w:t>
            </w:r>
          </w:p>
        </w:tc>
        <w:tc>
          <w:tcPr>
            <w:tcW w:type="dxa" w:w="81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17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BR-246</w:t>
            </w:r>
          </w:p>
        </w:tc>
        <w:tc>
          <w:tcPr>
            <w:tcW w:type="dxa" w:w="432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deployment to multiple hosting regions with per-organisation data residency, including in-Kingdom hosting.</w:t>
            </w:r>
          </w:p>
        </w:tc>
        <w:tc>
          <w:tcPr>
            <w:tcW w:type="dxa" w:w="245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Required for GCC expansion and for managed-service customers with residency constraints.</w:t>
            </w:r>
          </w:p>
        </w:tc>
        <w:tc>
          <w:tcPr>
            <w:tcW w:type="dxa" w:w="58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S</w:t>
            </w:r>
          </w:p>
        </w:tc>
        <w:tc>
          <w:tcPr>
            <w:tcW w:type="dxa" w:w="81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2.3</w:t>
            </w:r>
          </w:p>
        </w:tc>
      </w:tr>
      <w:tr>
        <w:tc>
          <w:tcPr>
            <w:tcW w:type="dxa" w:w="117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BR-247</w:t>
            </w:r>
          </w:p>
        </w:tc>
        <w:tc>
          <w:tcPr>
            <w:tcW w:type="dxa" w:w="432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provide migration tooling that imports existing test assets from common test management tools.</w:t>
            </w:r>
          </w:p>
        </w:tc>
        <w:tc>
          <w:tcPr>
            <w:tcW w:type="dxa" w:w="245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Removes the largest switching barrier for established teams.</w:t>
            </w:r>
          </w:p>
        </w:tc>
        <w:tc>
          <w:tcPr>
            <w:tcW w:type="dxa" w:w="58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S</w:t>
            </w:r>
          </w:p>
        </w:tc>
        <w:tc>
          <w:tcPr>
            <w:tcW w:type="dxa" w:w="81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17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BR-248</w:t>
            </w:r>
          </w:p>
        </w:tc>
        <w:tc>
          <w:tcPr>
            <w:tcW w:type="dxa" w:w="432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maintain backward compatibility for all v1 data and public API contracts across the v2 transition.</w:t>
            </w:r>
          </w:p>
        </w:tc>
        <w:tc>
          <w:tcPr>
            <w:tcW w:type="dxa" w:w="245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Existing pilot customers must not be disrupted; a broken upgrade destroys reference value.</w:t>
            </w:r>
          </w:p>
        </w:tc>
        <w:tc>
          <w:tcPr>
            <w:tcW w:type="dxa" w:w="58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M</w:t>
            </w:r>
          </w:p>
        </w:tc>
        <w:tc>
          <w:tcPr>
            <w:tcW w:type="dxa" w:w="81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bl>
    <w:p>
      <w:pPr>
        <w:pStyle w:val="Heading1"/>
        <w:pageBreakBefore/>
        <w:spacing w:after="160" w:before="360"/>
      </w:pPr>
      <w:r>
        <w:rPr>
          <w:rFonts w:ascii="Calibri" w:cs="Calibri" w:eastAsia="Calibri" w:hAnsi="Calibri"/>
          <w:b/>
          <w:bCs/>
          <w:color w:val="1F4E79"/>
          <w:sz w:val="30"/>
          <w:szCs w:val="30"/>
        </w:rPr>
        <w:t xml:space="preserve">9. Scope Boundaries for Version 2</w:t>
      </w:r>
    </w:p>
    <w:p>
      <w:pPr>
        <w:pStyle w:val="Heading2"/>
        <w:spacing w:after="110" w:before="260"/>
      </w:pPr>
      <w:r>
        <w:rPr>
          <w:rFonts w:ascii="Calibri" w:cs="Calibri" w:eastAsia="Calibri" w:hAnsi="Calibri"/>
          <w:b/>
          <w:bCs/>
          <w:color w:val="2E75B6"/>
          <w:sz w:val="25"/>
          <w:szCs w:val="25"/>
        </w:rPr>
        <w:t xml:space="preserve">9.1 Explicitly out of scope</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3209"/>
        <w:gridCol w:w="6151"/>
      </w:tblGrid>
      <w:tr>
        <w:trPr>
          <w:tblHeader/>
        </w:trPr>
        <w:tc>
          <w:tcPr>
            <w:tcW w:type="dxa" w:w="3209"/>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Excluded</w:t>
            </w:r>
          </w:p>
        </w:tc>
        <w:tc>
          <w:tcPr>
            <w:tcW w:type="dxa" w:w="6151"/>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Rationale</w:t>
            </w:r>
          </w:p>
        </w:tc>
      </w:tr>
      <w:tr>
        <w:tc>
          <w:tcPr>
            <w:tcW w:type="dxa" w:w="320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Performance and load testing</w:t>
            </w:r>
          </w:p>
        </w:tc>
        <w:tc>
          <w:tcPr>
            <w:tcW w:type="dxa" w:w="615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 distinct discipline with distinct tooling and a distinct buyer. Integrate with existing tools rather than build; revisit only if pulled by repeated customer demand.</w:t>
            </w:r>
          </w:p>
        </w:tc>
      </w:tr>
      <w:tr>
        <w:tc>
          <w:tcPr>
            <w:tcW w:type="dxa" w:w="320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Security testing and vulnerability scanning</w:t>
            </w:r>
          </w:p>
        </w:tc>
        <w:tc>
          <w:tcPr>
            <w:tcW w:type="dxa" w:w="615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Same reasoning, with the added constraint that credibility in security tooling requires expertise the team does not have.</w:t>
            </w:r>
          </w:p>
        </w:tc>
      </w:tr>
      <w:tr>
        <w:tc>
          <w:tcPr>
            <w:tcW w:type="dxa" w:w="320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Desktop application testing</w:t>
            </w:r>
          </w:p>
        </w:tc>
        <w:tc>
          <w:tcPr>
            <w:tcW w:type="dxa" w:w="615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Negligible demand in the target segments.</w:t>
            </w:r>
          </w:p>
        </w:tc>
      </w:tr>
      <w:tr>
        <w:tc>
          <w:tcPr>
            <w:tcW w:type="dxa" w:w="320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Game and embedded systems testing</w:t>
            </w:r>
          </w:p>
        </w:tc>
        <w:tc>
          <w:tcPr>
            <w:tcW w:type="dxa" w:w="615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Outside the addressable market entirely.</w:t>
            </w:r>
          </w:p>
        </w:tc>
      </w:tr>
      <w:tr>
        <w:tc>
          <w:tcPr>
            <w:tcW w:type="dxa" w:w="320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Full-blown project management</w:t>
            </w:r>
          </w:p>
        </w:tc>
        <w:tc>
          <w:tcPr>
            <w:tcW w:type="dxa" w:w="615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The product manages quality work, not sprint planning. Integrate with Jira and Azure DevOps rather than replace them.</w:t>
            </w:r>
          </w:p>
        </w:tc>
      </w:tr>
      <w:tr>
        <w:tc>
          <w:tcPr>
            <w:tcW w:type="dxa" w:w="320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Being a system of record for source code</w:t>
            </w:r>
          </w:p>
        </w:tc>
        <w:tc>
          <w:tcPr>
            <w:tcW w:type="dxa" w:w="615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Read repositories for change impact; never own them.</w:t>
            </w:r>
          </w:p>
        </w:tc>
      </w:tr>
      <w:tr>
        <w:tc>
          <w:tcPr>
            <w:tcW w:type="dxa" w:w="320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Autonomous action on production systems</w:t>
            </w:r>
          </w:p>
        </w:tc>
        <w:tc>
          <w:tcPr>
            <w:tcW w:type="dxa" w:w="615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The platform tests non-production environments by default. Production interaction requires explicit, per-environment, audited opt-in.</w:t>
            </w:r>
          </w:p>
        </w:tc>
      </w:tr>
    </w:tbl>
    <w:p>
      <w:pPr>
        <w:pStyle w:val="Heading2"/>
        <w:spacing w:after="110" w:before="260"/>
      </w:pPr>
      <w:r>
        <w:rPr>
          <w:rFonts w:ascii="Calibri" w:cs="Calibri" w:eastAsia="Calibri" w:hAnsi="Calibri"/>
          <w:b/>
          <w:bCs/>
          <w:color w:val="2E75B6"/>
          <w:sz w:val="25"/>
          <w:szCs w:val="25"/>
        </w:rPr>
        <w:t xml:space="preserve">9.2 Deliberate constraints on the intelligence layer</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No agent may approve its own output. Every autonomous proposal enters the same human review queue as a generated artefact (BR-228).</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No copilot answer may assert an unsourced fact. Answers cite artefacts; an ungrounded question receives "I do not have that information" rather than a plausible sentence (BR-221).</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No self-healing repair silently changes test semantics. A repair may change how an element is located; it may not change what is asserted.</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Risk-based selection never becomes the only safety net. A full-suite run remains scheduled, and the selection accuracy rate is published to the customer rather than hidden.</w:t>
      </w:r>
    </w:p>
    <w:p>
      <w:pPr>
        <w:pStyle w:val="Heading1"/>
        <w:pageBreakBefore/>
        <w:spacing w:after="160" w:before="360"/>
      </w:pPr>
      <w:r>
        <w:rPr>
          <w:rFonts w:ascii="Calibri" w:cs="Calibri" w:eastAsia="Calibri" w:hAnsi="Calibri"/>
          <w:b/>
          <w:bCs/>
          <w:color w:val="1F4E79"/>
          <w:sz w:val="30"/>
          <w:szCs w:val="30"/>
        </w:rPr>
        <w:t xml:space="preserve">10. Commercial Model — Version 2</w:t>
      </w:r>
    </w:p>
    <w:p>
      <w:pPr>
        <w:pStyle w:val="Heading2"/>
        <w:spacing w:after="110" w:before="260"/>
      </w:pPr>
      <w:r>
        <w:rPr>
          <w:rFonts w:ascii="Calibri" w:cs="Calibri" w:eastAsia="Calibri" w:hAnsi="Calibri"/>
          <w:b/>
          <w:bCs/>
          <w:color w:val="2E75B6"/>
          <w:sz w:val="25"/>
          <w:szCs w:val="25"/>
        </w:rPr>
        <w:t xml:space="preserve">10.1 Packaging</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777"/>
        <w:gridCol w:w="2251"/>
        <w:gridCol w:w="3554"/>
        <w:gridCol w:w="1778"/>
      </w:tblGrid>
      <w:tr>
        <w:trPr>
          <w:tblHeader/>
        </w:trPr>
        <w:tc>
          <w:tcPr>
            <w:tcW w:type="dxa" w:w="177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Plan</w:t>
            </w:r>
          </w:p>
        </w:tc>
        <w:tc>
          <w:tcPr>
            <w:tcW w:type="dxa" w:w="2251"/>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Target</w:t>
            </w:r>
          </w:p>
        </w:tc>
        <w:tc>
          <w:tcPr>
            <w:tcW w:type="dxa" w:w="355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Included</w:t>
            </w:r>
          </w:p>
        </w:tc>
        <w:tc>
          <w:tcPr>
            <w:tcW w:type="dxa" w:w="177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Basis</w:t>
            </w:r>
          </w:p>
        </w:tc>
      </w:tr>
      <w:tr>
        <w:tc>
          <w:tcPr>
            <w:tcW w:type="dxa" w:w="177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Free</w:t>
            </w:r>
          </w:p>
        </w:tc>
        <w:tc>
          <w:tcPr>
            <w:tcW w:type="dxa" w:w="225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Evaluation</w:t>
            </w:r>
          </w:p>
        </w:tc>
        <w:tc>
          <w:tcPr>
            <w:tcW w:type="dxa" w:w="35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One project, capped generation and execution volume, API and UI testing, community support.</w:t>
            </w:r>
          </w:p>
        </w:tc>
        <w:tc>
          <w:tcPr>
            <w:tcW w:type="dxa" w:w="177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Free</w:t>
            </w:r>
          </w:p>
        </w:tc>
      </w:tr>
      <w:tr>
        <w:tc>
          <w:tcPr>
            <w:tcW w:type="dxa" w:w="177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Team</w:t>
            </w:r>
          </w:p>
        </w:tc>
        <w:tc>
          <w:tcPr>
            <w:tcW w:type="dxa" w:w="225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Software houses, startups</w:t>
            </w:r>
          </w:p>
        </w:tc>
        <w:tc>
          <w:tcPr>
            <w:tcW w:type="dxa" w:w="35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Unlimited projects, full P1 coverage, test cycles, defect sync, CI/CD, copilot, standard support.</w:t>
            </w:r>
          </w:p>
        </w:tc>
        <w:tc>
          <w:tcPr>
            <w:tcW w:type="dxa" w:w="177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Per user, per month</w:t>
            </w:r>
          </w:p>
        </w:tc>
      </w:tr>
      <w:tr>
        <w:tc>
          <w:tcPr>
            <w:tcW w:type="dxa" w:w="177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Business</w:t>
            </w:r>
          </w:p>
        </w:tc>
        <w:tc>
          <w:tcPr>
            <w:tcW w:type="dxa" w:w="225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Mid-size and scale-ups</w:t>
            </w:r>
          </w:p>
        </w:tc>
        <w:tc>
          <w:tcPr>
            <w:tcW w:type="dxa" w:w="35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Team plus release gates, risk-based selection, autonomous agents, portfolio dashboards, SSO, priority support.</w:t>
            </w:r>
          </w:p>
        </w:tc>
        <w:tc>
          <w:tcPr>
            <w:tcW w:type="dxa" w:w="177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Per user, per month</w:t>
            </w:r>
          </w:p>
        </w:tc>
      </w:tr>
      <w:tr>
        <w:tc>
          <w:tcPr>
            <w:tcW w:type="dxa" w:w="177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Enterprise</w:t>
            </w:r>
          </w:p>
        </w:tc>
        <w:tc>
          <w:tcPr>
            <w:tcW w:type="dxa" w:w="225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Government, regulated, SIs</w:t>
            </w:r>
          </w:p>
        </w:tc>
        <w:tc>
          <w:tcPr>
            <w:tcW w:type="dxa" w:w="35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Business plus multi-entity tenancy, custom roles, evidence packs, audit and retention controls, SCIM, in-Kingdom hosting, SLA, named support.</w:t>
            </w:r>
          </w:p>
        </w:tc>
        <w:tc>
          <w:tcPr>
            <w:tcW w:type="dxa" w:w="177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Annual contract</w:t>
            </w:r>
          </w:p>
        </w:tc>
      </w:tr>
      <w:tr>
        <w:tc>
          <w:tcPr>
            <w:tcW w:type="dxa" w:w="177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Sovereign</w:t>
            </w:r>
          </w:p>
        </w:tc>
        <w:tc>
          <w:tcPr>
            <w:tcW w:type="dxa" w:w="225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Entities requiring full control</w:t>
            </w:r>
          </w:p>
        </w:tc>
        <w:tc>
          <w:tcPr>
            <w:tcW w:type="dxa" w:w="35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Enterprise plus on-premise or air-gapped distribution with a locally hosted model, installation, training and dedicated support.</w:t>
            </w:r>
          </w:p>
        </w:tc>
        <w:tc>
          <w:tcPr>
            <w:tcW w:type="dxa" w:w="177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Annual licence plus services</w:t>
            </w:r>
          </w:p>
        </w:tc>
      </w:tr>
    </w:tbl>
    <w:p>
      <w:pPr>
        <w:pStyle w:val="Heading2"/>
        <w:spacing w:after="110" w:before="260"/>
      </w:pPr>
      <w:r>
        <w:rPr>
          <w:rFonts w:ascii="Calibri" w:cs="Calibri" w:eastAsia="Calibri" w:hAnsi="Calibri"/>
          <w:b/>
          <w:bCs/>
          <w:color w:val="2E75B6"/>
          <w:sz w:val="25"/>
          <w:szCs w:val="25"/>
        </w:rPr>
        <w:t xml:space="preserve">10.2 Add-ons and usage components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674"/>
        <w:gridCol w:w="3477"/>
        <w:gridCol w:w="3209"/>
      </w:tblGrid>
      <w:tr>
        <w:trPr>
          <w:tblHeader/>
        </w:trPr>
        <w:tc>
          <w:tcPr>
            <w:tcW w:type="dxa" w:w="267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Component</w:t>
            </w:r>
          </w:p>
        </w:tc>
        <w:tc>
          <w:tcPr>
            <w:tcW w:type="dxa" w:w="347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Model</w:t>
            </w:r>
          </w:p>
        </w:tc>
        <w:tc>
          <w:tcPr>
            <w:tcW w:type="dxa" w:w="3209"/>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Rationale</w:t>
            </w:r>
          </w:p>
        </w:tc>
      </w:tr>
      <w:tr>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Mobile device execution</w:t>
            </w:r>
          </w:p>
        </w:tc>
        <w:tc>
          <w:tcPr>
            <w:tcW w:type="dxa" w:w="347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Metered by device minutes, or bring-your-own device farm</w:t>
            </w:r>
          </w:p>
        </w:tc>
        <w:tc>
          <w:tcPr>
            <w:tcW w:type="dxa" w:w="320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Direct infrastructure cost that must not be absorbed into a seat price.</w:t>
            </w:r>
          </w:p>
        </w:tc>
      </w:tr>
      <w:tr>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Browser execution capacity</w:t>
            </w:r>
          </w:p>
        </w:tc>
        <w:tc>
          <w:tcPr>
            <w:tcW w:type="dxa" w:w="347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Bundled allowance per plan, with paid overage or self-hosted grid</w:t>
            </w:r>
          </w:p>
        </w:tc>
        <w:tc>
          <w:tcPr>
            <w:tcW w:type="dxa" w:w="320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Same reasoning; self-hosting must remain an option for on-premise parity.</w:t>
            </w:r>
          </w:p>
        </w:tc>
      </w:tr>
      <w:tr>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Intelligence capacity</w:t>
            </w:r>
          </w:p>
        </w:tc>
        <w:tc>
          <w:tcPr>
            <w:tcW w:type="dxa" w:w="347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Bundled monthly allowance per seat, with transparent overage</w:t>
            </w:r>
          </w:p>
        </w:tc>
        <w:tc>
          <w:tcPr>
            <w:tcW w:type="dxa" w:w="320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Model inference is the dominant variable cost; it must be visible, bounded and predictable.</w:t>
            </w:r>
          </w:p>
        </w:tc>
      </w:tr>
      <w:tr>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Marketplace extensions</w:t>
            </w:r>
          </w:p>
        </w:tc>
        <w:tc>
          <w:tcPr>
            <w:tcW w:type="dxa" w:w="347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Revenue share with publishers</w:t>
            </w:r>
          </w:p>
        </w:tc>
        <w:tc>
          <w:tcPr>
            <w:tcW w:type="dxa" w:w="320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Ecosystem incentive rather than a revenue line in its own right.</w:t>
            </w:r>
          </w:p>
        </w:tc>
      </w:tr>
      <w:tr>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Implementation and training</w:t>
            </w:r>
          </w:p>
        </w:tc>
        <w:tc>
          <w:tcPr>
            <w:tcW w:type="dxa" w:w="347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Fixed-price services</w:t>
            </w:r>
          </w:p>
        </w:tc>
        <w:tc>
          <w:tcPr>
            <w:tcW w:type="dxa" w:w="320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Enterprise and Sovereign deals require it; price it rather than absorb it.</w:t>
            </w:r>
          </w:p>
        </w:tc>
      </w:tr>
    </w:tbl>
    <w:p>
      <w:pPr>
        <w:spacing w:after="120" w:line="276"/>
      </w:pPr>
      <w:r>
        <w:rPr>
          <w:rFonts w:ascii="Calibri" w:cs="Calibri" w:eastAsia="Calibri" w:hAnsi="Calibri"/>
          <w:b w:val="false"/>
          <w:bCs w:val="false"/>
          <w:i/>
          <w:iCs/>
          <w:color w:val="262626"/>
          <w:sz w:val="21"/>
          <w:szCs w:val="21"/>
        </w:rPr>
        <w:t xml:space="preserve">Pricing principle carried forward from v1: price against recovered engineering capacity and audit exposure, not against competitor list prices. The v2 addition is that intelligence and execution capacity are metered transparently, because a variable cost hidden inside a flat seat price becomes a margin problem at exactly the moment a customer succeeds with the product.</w:t>
      </w:r>
    </w:p>
    <w:p>
      <w:pPr>
        <w:pStyle w:val="Heading2"/>
        <w:spacing w:after="110" w:before="260"/>
      </w:pPr>
      <w:r>
        <w:rPr>
          <w:rFonts w:ascii="Calibri" w:cs="Calibri" w:eastAsia="Calibri" w:hAnsi="Calibri"/>
          <w:b/>
          <w:bCs/>
          <w:color w:val="2E75B6"/>
          <w:sz w:val="25"/>
          <w:szCs w:val="25"/>
        </w:rPr>
        <w:t xml:space="preserve">10.3 Expansion mechanics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674"/>
        <w:gridCol w:w="6686"/>
      </w:tblGrid>
      <w:tr>
        <w:trPr>
          <w:tblHeader/>
        </w:trPr>
        <w:tc>
          <w:tcPr>
            <w:tcW w:type="dxa" w:w="267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Motion</w:t>
            </w:r>
          </w:p>
        </w:tc>
        <w:tc>
          <w:tcPr>
            <w:tcW w:type="dxa" w:w="6686"/>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How it works</w:t>
            </w:r>
          </w:p>
        </w:tc>
      </w:tr>
      <w:tr>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Land</w:t>
            </w:r>
          </w:p>
        </w:tc>
        <w:tc>
          <w:tcPr>
            <w:tcW w:type="dxa" w:w="668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Team plan, one project, one QA team, bought by a QA lead on recovered hours.</w:t>
            </w:r>
          </w:p>
        </w:tc>
      </w:tr>
      <w:tr>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Expand by seats</w:t>
            </w:r>
          </w:p>
        </w:tc>
        <w:tc>
          <w:tcPr>
            <w:tcW w:type="dxa" w:w="668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Developers join to investigate failures; the CI/CD gate pulls in the platform team.</w:t>
            </w:r>
          </w:p>
        </w:tc>
      </w:tr>
      <w:tr>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Expand by projects</w:t>
            </w:r>
          </w:p>
        </w:tc>
        <w:tc>
          <w:tcPr>
            <w:tcW w:type="dxa" w:w="668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 second and third project onboard; portfolio dashboards become useful, which surfaces the Head of Quality.</w:t>
            </w:r>
          </w:p>
        </w:tc>
      </w:tr>
      <w:tr>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Expand by tier</w:t>
            </w:r>
          </w:p>
        </w:tc>
        <w:tc>
          <w:tcPr>
            <w:tcW w:type="dxa" w:w="668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Release gates and evidence packs move the account to Business or Enterprise, and the buyer moves up a level.</w:t>
            </w:r>
          </w:p>
        </w:tc>
      </w:tr>
      <w:tr>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Expand by deployment</w:t>
            </w:r>
          </w:p>
        </w:tc>
        <w:tc>
          <w:tcPr>
            <w:tcW w:type="dxa" w:w="668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Residency or sovereignty requirements convert an Enterprise account to Sovereign at materially higher contract value.</w:t>
            </w:r>
          </w:p>
        </w:tc>
      </w:tr>
    </w:tbl>
    <w:p>
      <w:pPr>
        <w:pStyle w:val="Heading1"/>
        <w:pageBreakBefore/>
        <w:spacing w:after="160" w:before="360"/>
      </w:pPr>
      <w:r>
        <w:rPr>
          <w:rFonts w:ascii="Calibri" w:cs="Calibri" w:eastAsia="Calibri" w:hAnsi="Calibri"/>
          <w:b/>
          <w:bCs/>
          <w:color w:val="1F4E79"/>
          <w:sz w:val="30"/>
          <w:szCs w:val="30"/>
        </w:rPr>
        <w:t xml:space="preserve">11. Business Objectives and Success Metrics — Version 2</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101"/>
        <w:gridCol w:w="3304"/>
        <w:gridCol w:w="3304"/>
        <w:gridCol w:w="1651"/>
      </w:tblGrid>
      <w:tr>
        <w:trPr>
          <w:tblHeader/>
        </w:trPr>
        <w:tc>
          <w:tcPr>
            <w:tcW w:type="dxa" w:w="1101"/>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ID</w:t>
            </w:r>
          </w:p>
        </w:tc>
        <w:tc>
          <w:tcPr>
            <w:tcW w:type="dxa" w:w="330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Objective</w:t>
            </w:r>
          </w:p>
        </w:tc>
        <w:tc>
          <w:tcPr>
            <w:tcW w:type="dxa" w:w="330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Metric</w:t>
            </w:r>
          </w:p>
        </w:tc>
        <w:tc>
          <w:tcPr>
            <w:tcW w:type="dxa" w:w="1651"/>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Target</w:t>
            </w:r>
          </w:p>
        </w:tc>
      </w:tr>
      <w:tr>
        <w:tc>
          <w:tcPr>
            <w:tcW w:type="dxa" w:w="1101"/>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BO-201</w:t>
            </w:r>
          </w:p>
        </w:tc>
        <w:tc>
          <w:tcPr>
            <w:tcW w:type="dxa" w:w="330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Prove UI automation is sustainable, not merely possible</w:t>
            </w:r>
          </w:p>
        </w:tc>
        <w:tc>
          <w:tcPr>
            <w:tcW w:type="dxa" w:w="330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Share of UI test failures caused by locator breakage rather than real defects</w:t>
            </w:r>
          </w:p>
        </w:tc>
        <w:tc>
          <w:tcPr>
            <w:tcW w:type="dxa" w:w="165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&lt; 10%</w:t>
            </w:r>
          </w:p>
        </w:tc>
      </w:tr>
      <w:tr>
        <w:tc>
          <w:tcPr>
            <w:tcW w:type="dxa" w:w="110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BO-202</w:t>
            </w:r>
          </w:p>
        </w:tc>
        <w:tc>
          <w:tcPr>
            <w:tcW w:type="dxa" w:w="330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Prove self-healing is trustworthy</w:t>
            </w:r>
          </w:p>
        </w:tc>
        <w:tc>
          <w:tcPr>
            <w:tcW w:type="dxa" w:w="330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Proposed repairs accepted by a reviewer without modification</w:t>
            </w:r>
          </w:p>
        </w:tc>
        <w:tc>
          <w:tcPr>
            <w:tcW w:type="dxa" w:w="165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 85%</w:t>
            </w:r>
          </w:p>
        </w:tc>
      </w:tr>
      <w:tr>
        <w:tc>
          <w:tcPr>
            <w:tcW w:type="dxa" w:w="1101"/>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BO-203</w:t>
            </w:r>
          </w:p>
        </w:tc>
        <w:tc>
          <w:tcPr>
            <w:tcW w:type="dxa" w:w="330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Prove traffic-based discovery expands addressability</w:t>
            </w:r>
          </w:p>
        </w:tc>
        <w:tc>
          <w:tcPr>
            <w:tcW w:type="dxa" w:w="330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Projects onboarded with no OpenAPI specification</w:t>
            </w:r>
          </w:p>
        </w:tc>
        <w:tc>
          <w:tcPr>
            <w:tcW w:type="dxa" w:w="165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 40% of new projects</w:t>
            </w:r>
          </w:p>
        </w:tc>
      </w:tr>
      <w:tr>
        <w:tc>
          <w:tcPr>
            <w:tcW w:type="dxa" w:w="110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BO-204</w:t>
            </w:r>
          </w:p>
        </w:tc>
        <w:tc>
          <w:tcPr>
            <w:tcW w:type="dxa" w:w="330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Prove the copilot is used, not demonstrated</w:t>
            </w:r>
          </w:p>
        </w:tc>
        <w:tc>
          <w:tcPr>
            <w:tcW w:type="dxa" w:w="330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Weekly active users engaging the copilot at least three times</w:t>
            </w:r>
          </w:p>
        </w:tc>
        <w:tc>
          <w:tcPr>
            <w:tcW w:type="dxa" w:w="165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 50% of active users</w:t>
            </w:r>
          </w:p>
        </w:tc>
      </w:tr>
      <w:tr>
        <w:tc>
          <w:tcPr>
            <w:tcW w:type="dxa" w:w="1101"/>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BO-205</w:t>
            </w:r>
          </w:p>
        </w:tc>
        <w:tc>
          <w:tcPr>
            <w:tcW w:type="dxa" w:w="330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Prove risk-based selection is safe</w:t>
            </w:r>
          </w:p>
        </w:tc>
        <w:tc>
          <w:tcPr>
            <w:tcW w:type="dxa" w:w="330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Regressions missed by the selected subset but caught by the scheduled full run</w:t>
            </w:r>
          </w:p>
        </w:tc>
        <w:tc>
          <w:tcPr>
            <w:tcW w:type="dxa" w:w="165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&lt; 2%</w:t>
            </w:r>
          </w:p>
        </w:tc>
      </w:tr>
      <w:tr>
        <w:tc>
          <w:tcPr>
            <w:tcW w:type="dxa" w:w="110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BO-206</w:t>
            </w:r>
          </w:p>
        </w:tc>
        <w:tc>
          <w:tcPr>
            <w:tcW w:type="dxa" w:w="330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Prove the platform becomes infrastructure</w:t>
            </w:r>
          </w:p>
        </w:tc>
        <w:tc>
          <w:tcPr>
            <w:tcW w:type="dxa" w:w="330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Accounts with an active CI/CD quality gate</w:t>
            </w:r>
          </w:p>
        </w:tc>
        <w:tc>
          <w:tcPr>
            <w:tcW w:type="dxa" w:w="165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 60% of Business and above</w:t>
            </w:r>
          </w:p>
        </w:tc>
      </w:tr>
      <w:tr>
        <w:tc>
          <w:tcPr>
            <w:tcW w:type="dxa" w:w="1101"/>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BO-207</w:t>
            </w:r>
          </w:p>
        </w:tc>
        <w:tc>
          <w:tcPr>
            <w:tcW w:type="dxa" w:w="330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Prove upward movement of the buyer</w:t>
            </w:r>
          </w:p>
        </w:tc>
        <w:tc>
          <w:tcPr>
            <w:tcW w:type="dxa" w:w="330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New contracts where the economic buyer is Head of Quality or above</w:t>
            </w:r>
          </w:p>
        </w:tc>
        <w:tc>
          <w:tcPr>
            <w:tcW w:type="dxa" w:w="165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 50%</w:t>
            </w:r>
          </w:p>
        </w:tc>
      </w:tr>
      <w:tr>
        <w:tc>
          <w:tcPr>
            <w:tcW w:type="dxa" w:w="110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BO-208</w:t>
            </w:r>
          </w:p>
        </w:tc>
        <w:tc>
          <w:tcPr>
            <w:tcW w:type="dxa" w:w="330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Prove expansion economics</w:t>
            </w:r>
          </w:p>
        </w:tc>
        <w:tc>
          <w:tcPr>
            <w:tcW w:type="dxa" w:w="330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Net revenue retention across accounts twelve months old</w:t>
            </w:r>
          </w:p>
        </w:tc>
        <w:tc>
          <w:tcPr>
            <w:tcW w:type="dxa" w:w="165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 120%</w:t>
            </w:r>
          </w:p>
        </w:tc>
      </w:tr>
      <w:tr>
        <w:tc>
          <w:tcPr>
            <w:tcW w:type="dxa" w:w="1101"/>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BO-209</w:t>
            </w:r>
          </w:p>
        </w:tc>
        <w:tc>
          <w:tcPr>
            <w:tcW w:type="dxa" w:w="330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Prove the sovereign proposition converts</w:t>
            </w:r>
          </w:p>
        </w:tc>
        <w:tc>
          <w:tcPr>
            <w:tcW w:type="dxa" w:w="330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Signed Sovereign or Enterprise contracts with in-Kingdom or on-premise deployment</w:t>
            </w:r>
          </w:p>
        </w:tc>
        <w:tc>
          <w:tcPr>
            <w:tcW w:type="dxa" w:w="165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 3 in the first year of availability</w:t>
            </w:r>
          </w:p>
        </w:tc>
      </w:tr>
      <w:tr>
        <w:tc>
          <w:tcPr>
            <w:tcW w:type="dxa" w:w="110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BO-210</w:t>
            </w:r>
          </w:p>
        </w:tc>
        <w:tc>
          <w:tcPr>
            <w:tcW w:type="dxa" w:w="330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Prove the channel works</w:t>
            </w:r>
          </w:p>
        </w:tc>
        <w:tc>
          <w:tcPr>
            <w:tcW w:type="dxa" w:w="330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Revenue originated through system integrator partners</w:t>
            </w:r>
          </w:p>
        </w:tc>
        <w:tc>
          <w:tcPr>
            <w:tcW w:type="dxa" w:w="165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 20% of new bookings by end of the v2 programme</w:t>
            </w:r>
          </w:p>
        </w:tc>
      </w:tr>
      <w:tr>
        <w:tc>
          <w:tcPr>
            <w:tcW w:type="dxa" w:w="1101"/>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BO-211</w:t>
            </w:r>
          </w:p>
        </w:tc>
        <w:tc>
          <w:tcPr>
            <w:tcW w:type="dxa" w:w="330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Maintain the trust invariant at greater scale</w:t>
            </w:r>
          </w:p>
        </w:tc>
        <w:tc>
          <w:tcPr>
            <w:tcW w:type="dxa" w:w="330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Persisted artefacts containing an unverifiable identifier or an uncited copilot assertion</w:t>
            </w:r>
          </w:p>
        </w:tc>
        <w:tc>
          <w:tcPr>
            <w:tcW w:type="dxa" w:w="165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0 (hard gate)</w:t>
            </w:r>
          </w:p>
        </w:tc>
      </w:tr>
    </w:tbl>
    <w:p>
      <w:pPr>
        <w:pStyle w:val="Heading1"/>
        <w:pageBreakBefore/>
        <w:spacing w:after="160" w:before="360"/>
      </w:pPr>
      <w:r>
        <w:rPr>
          <w:rFonts w:ascii="Calibri" w:cs="Calibri" w:eastAsia="Calibri" w:hAnsi="Calibri"/>
          <w:b/>
          <w:bCs/>
          <w:color w:val="1F4E79"/>
          <w:sz w:val="30"/>
          <w:szCs w:val="30"/>
        </w:rPr>
        <w:t xml:space="preserve">12. Regulatory and Compliance Expansion</w:t>
      </w:r>
    </w:p>
    <w:p>
      <w:pPr>
        <w:spacing w:after="120" w:line="276"/>
      </w:pPr>
      <w:r>
        <w:rPr>
          <w:rFonts w:ascii="Calibri" w:cs="Calibri" w:eastAsia="Calibri" w:hAnsi="Calibri"/>
          <w:b w:val="false"/>
          <w:bCs w:val="false"/>
          <w:i w:val="false"/>
          <w:iCs w:val="false"/>
          <w:color w:val="262626"/>
          <w:sz w:val="21"/>
          <w:szCs w:val="21"/>
        </w:rPr>
        <w:t xml:space="preserve">v2 sells into segments where compliance posture is a qualification criterion evaluated before functionality. These are commitments with dates, not aspirations.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674"/>
        <w:gridCol w:w="3744"/>
        <w:gridCol w:w="2942"/>
      </w:tblGrid>
      <w:tr>
        <w:trPr>
          <w:tblHeader/>
        </w:trPr>
        <w:tc>
          <w:tcPr>
            <w:tcW w:type="dxa" w:w="267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Requirement</w:t>
            </w:r>
          </w:p>
        </w:tc>
        <w:tc>
          <w:tcPr>
            <w:tcW w:type="dxa" w:w="374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Business driver</w:t>
            </w:r>
          </w:p>
        </w:tc>
        <w:tc>
          <w:tcPr>
            <w:tcW w:type="dxa" w:w="2942"/>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Commitment</w:t>
            </w:r>
          </w:p>
        </w:tc>
      </w:tr>
      <w:tr>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Saudi PDPL alignment, documented</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Every segment; blocking for government.</w:t>
            </w:r>
          </w:p>
        </w:tc>
        <w:tc>
          <w:tcPr>
            <w:tcW w:type="dxa" w:w="29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Data flow documentation and residency controls complete before the first Enterprise proposal.</w:t>
            </w:r>
          </w:p>
        </w:tc>
      </w:tr>
      <w:tr>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NCA Essential Cybersecurity Controls mapping</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Government entities assess vendors against these controls.</w:t>
            </w:r>
          </w:p>
        </w:tc>
        <w:tc>
          <w:tcPr>
            <w:tcW w:type="dxa" w:w="29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Control mapping and gap register maintained; assessed before the first government tender.</w:t>
            </w:r>
          </w:p>
        </w:tc>
      </w:tr>
      <w:tr>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ISO/IEC 27001 certification</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Enterprise and regulated procurement.</w:t>
            </w:r>
          </w:p>
        </w:tc>
        <w:tc>
          <w:tcPr>
            <w:tcW w:type="dxa" w:w="29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Programme initiated during release 2.1; certification targeted before release 2.3.</w:t>
            </w:r>
          </w:p>
        </w:tc>
      </w:tr>
      <w:tr>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SOC 2 Type II</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Required for GCC enterprise and any international expansion.</w:t>
            </w:r>
          </w:p>
        </w:tc>
        <w:tc>
          <w:tcPr>
            <w:tcW w:type="dxa" w:w="29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Observation period begins after 27001 controls are operating.</w:t>
            </w:r>
          </w:p>
        </w:tc>
      </w:tr>
      <w:tr>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WCAG conformance of our own interface</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Credibility — a product that audits accessibility must pass it.</w:t>
            </w:r>
          </w:p>
        </w:tc>
        <w:tc>
          <w:tcPr>
            <w:tcW w:type="dxa" w:w="29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Level AA for the core workflows by release 2.1.</w:t>
            </w:r>
          </w:p>
        </w:tc>
      </w:tr>
      <w:tr>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Test data masking and PDPL-safe handling</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Customers will load production-derived data.</w:t>
            </w:r>
          </w:p>
        </w:tc>
        <w:tc>
          <w:tcPr>
            <w:tcW w:type="dxa" w:w="29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Masking capability ships with BR-214; default policy is masked-unless-explicitly-exempted.</w:t>
            </w:r>
          </w:p>
        </w:tc>
      </w:tr>
      <w:tr>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Model governance and data handling disclosure</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Customers must know what is sent to which model.</w:t>
            </w:r>
          </w:p>
        </w:tc>
        <w:tc>
          <w:tcPr>
            <w:tcW w:type="dxa" w:w="29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Per-organisation model routing policy, with a no-external-inference mode, from release 2.2.</w:t>
            </w:r>
          </w:p>
        </w:tc>
      </w:tr>
    </w:tbl>
    <w:p>
      <w:pPr>
        <w:pStyle w:val="Heading1"/>
        <w:pageBreakBefore/>
        <w:spacing w:after="160" w:before="360"/>
      </w:pPr>
      <w:r>
        <w:rPr>
          <w:rFonts w:ascii="Calibri" w:cs="Calibri" w:eastAsia="Calibri" w:hAnsi="Calibri"/>
          <w:b/>
          <w:bCs/>
          <w:color w:val="1F4E79"/>
          <w:sz w:val="30"/>
          <w:szCs w:val="30"/>
        </w:rPr>
        <w:t xml:space="preserve">13. Go-to-Market — Version 2</w:t>
      </w:r>
    </w:p>
    <w:p>
      <w:pPr>
        <w:pStyle w:val="Heading2"/>
        <w:spacing w:after="110" w:before="260"/>
      </w:pPr>
      <w:r>
        <w:rPr>
          <w:rFonts w:ascii="Calibri" w:cs="Calibri" w:eastAsia="Calibri" w:hAnsi="Calibri"/>
          <w:b/>
          <w:bCs/>
          <w:color w:val="2E75B6"/>
          <w:sz w:val="25"/>
          <w:szCs w:val="25"/>
        </w:rPr>
        <w:t xml:space="preserve">13.1 Motion by segment</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674"/>
        <w:gridCol w:w="2942"/>
        <w:gridCol w:w="3744"/>
      </w:tblGrid>
      <w:tr>
        <w:trPr>
          <w:tblHeader/>
        </w:trPr>
        <w:tc>
          <w:tcPr>
            <w:tcW w:type="dxa" w:w="267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Segment</w:t>
            </w:r>
          </w:p>
        </w:tc>
        <w:tc>
          <w:tcPr>
            <w:tcW w:type="dxa" w:w="2942"/>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Motion</w:t>
            </w:r>
          </w:p>
        </w:tc>
        <w:tc>
          <w:tcPr>
            <w:tcW w:type="dxa" w:w="374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Key proof asset</w:t>
            </w:r>
          </w:p>
        </w:tc>
      </w:tr>
      <w:tr>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Software houses</w:t>
            </w:r>
          </w:p>
        </w:tc>
        <w:tc>
          <w:tcPr>
            <w:tcW w:type="dxa" w:w="29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Product-led with founder-assisted conversion</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 case study showing maintenance hours eliminated by self-healing.</w:t>
            </w:r>
          </w:p>
        </w:tc>
      </w:tr>
      <w:tr>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Scale-ups and platform teams</w:t>
            </w:r>
          </w:p>
        </w:tc>
        <w:tc>
          <w:tcPr>
            <w:tcW w:type="dxa" w:w="29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Developer-led: API, CLI and CI/CD plugin first</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 published risk-selection accuracy figure and a pipeline time-saving benchmark.</w:t>
            </w:r>
          </w:p>
        </w:tc>
      </w:tr>
      <w:tr>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Government entities</w:t>
            </w:r>
          </w:p>
        </w:tc>
        <w:tc>
          <w:tcPr>
            <w:tcW w:type="dxa" w:w="29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Direct enterprise sales with a compliance-first conversation</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Evidence pack sample, NCA control mapping, and a named reference.</w:t>
            </w:r>
          </w:p>
        </w:tc>
      </w:tr>
      <w:tr>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Regulated enterprises</w:t>
            </w:r>
          </w:p>
        </w:tc>
        <w:tc>
          <w:tcPr>
            <w:tcW w:type="dxa" w:w="29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Direct sales through the compliance and audit function</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Independent audit trail export and access-control attestation.</w:t>
            </w:r>
          </w:p>
        </w:tc>
      </w:tr>
      <w:tr>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System integrators</w:t>
            </w:r>
          </w:p>
        </w:tc>
        <w:tc>
          <w:tcPr>
            <w:tcW w:type="dxa" w:w="29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Partner programme</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Portfolio reporting and per-client isolation demonstrated on their own delivery estate.</w:t>
            </w:r>
          </w:p>
        </w:tc>
      </w:tr>
      <w:tr>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GCC expansion</w:t>
            </w:r>
          </w:p>
        </w:tc>
        <w:tc>
          <w:tcPr>
            <w:tcW w:type="dxa" w:w="29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Partner-led entry</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In-region deployment plus a Saudi reference of comparable scale.</w:t>
            </w:r>
          </w:p>
        </w:tc>
      </w:tr>
    </w:tbl>
    <w:p>
      <w:pPr>
        <w:pStyle w:val="Heading2"/>
        <w:spacing w:after="110" w:before="260"/>
      </w:pPr>
      <w:r>
        <w:rPr>
          <w:rFonts w:ascii="Calibri" w:cs="Calibri" w:eastAsia="Calibri" w:hAnsi="Calibri"/>
          <w:b/>
          <w:bCs/>
          <w:color w:val="2E75B6"/>
          <w:sz w:val="25"/>
          <w:szCs w:val="25"/>
        </w:rPr>
        <w:t xml:space="preserve">13.2 Sequencing</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872"/>
        <w:gridCol w:w="3209"/>
        <w:gridCol w:w="4279"/>
      </w:tblGrid>
      <w:tr>
        <w:trPr>
          <w:tblHeader/>
        </w:trPr>
        <w:tc>
          <w:tcPr>
            <w:tcW w:type="dxa" w:w="1872"/>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Stage</w:t>
            </w:r>
          </w:p>
        </w:tc>
        <w:tc>
          <w:tcPr>
            <w:tcW w:type="dxa" w:w="3209"/>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Trigger</w:t>
            </w:r>
          </w:p>
        </w:tc>
        <w:tc>
          <w:tcPr>
            <w:tcW w:type="dxa" w:w="4279"/>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Focus</w:t>
            </w:r>
          </w:p>
        </w:tc>
      </w:tr>
      <w:tr>
        <w:tc>
          <w:tcPr>
            <w:tcW w:type="dxa" w:w="187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Stage 1 — Deepen</w:t>
            </w:r>
          </w:p>
        </w:tc>
        <w:tc>
          <w:tcPr>
            <w:tcW w:type="dxa" w:w="320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v1 gates passed (section 3)</w:t>
            </w:r>
          </w:p>
        </w:tc>
        <w:tc>
          <w:tcPr>
            <w:tcW w:type="dxa" w:w="427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Ship release 2.0 to existing pilot customers. Expand seats within accounts already held. No new segment.</w:t>
            </w:r>
          </w:p>
        </w:tc>
      </w:tr>
      <w:tr>
        <w:tc>
          <w:tcPr>
            <w:tcW w:type="dxa" w:w="187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Stage 2 — Elevate</w:t>
            </w:r>
          </w:p>
        </w:tc>
        <w:tc>
          <w:tcPr>
            <w:tcW w:type="dxa" w:w="320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Release 2.1 available</w:t>
            </w:r>
          </w:p>
        </w:tc>
        <w:tc>
          <w:tcPr>
            <w:tcW w:type="dxa" w:w="427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Introduce portfolio dashboards and evidence packs to move the buyer upward inside existing accounts.</w:t>
            </w:r>
          </w:p>
        </w:tc>
      </w:tr>
      <w:tr>
        <w:tc>
          <w:tcPr>
            <w:tcW w:type="dxa" w:w="187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Stage 3 — Enter</w:t>
            </w:r>
          </w:p>
        </w:tc>
        <w:tc>
          <w:tcPr>
            <w:tcW w:type="dxa" w:w="320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Release 2.2 available with on-premise packaging</w:t>
            </w:r>
          </w:p>
        </w:tc>
        <w:tc>
          <w:tcPr>
            <w:tcW w:type="dxa" w:w="427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Open the government and regulated segments with compliance-led sales and named references.</w:t>
            </w:r>
          </w:p>
        </w:tc>
      </w:tr>
      <w:tr>
        <w:tc>
          <w:tcPr>
            <w:tcW w:type="dxa" w:w="187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Stage 4 — Extend</w:t>
            </w:r>
          </w:p>
        </w:tc>
        <w:tc>
          <w:tcPr>
            <w:tcW w:type="dxa" w:w="320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Release 2.3 available</w:t>
            </w:r>
          </w:p>
        </w:tc>
        <w:tc>
          <w:tcPr>
            <w:tcW w:type="dxa" w:w="427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Partner channel activation and GCC entry.</w:t>
            </w:r>
          </w:p>
        </w:tc>
      </w:tr>
    </w:tbl>
    <w:p>
      <w:pPr>
        <w:spacing w:after="120" w:line="276"/>
      </w:pPr>
      <w:r>
        <w:rPr>
          <w:rFonts w:ascii="Calibri" w:cs="Calibri" w:eastAsia="Calibri" w:hAnsi="Calibri"/>
          <w:b w:val="false"/>
          <w:bCs w:val="false"/>
          <w:i/>
          <w:iCs/>
          <w:color w:val="262626"/>
          <w:sz w:val="21"/>
          <w:szCs w:val="21"/>
        </w:rPr>
        <w:t xml:space="preserve">The ordering is deliberate: every stage sells into a segment for which the prior stage produced a reference. Attempting stage 3 before stage 2 means approaching a government entity with no comparable customer, which is a long and usually unsuccessful conversation.</w:t>
      </w:r>
    </w:p>
    <w:p>
      <w:pPr>
        <w:pStyle w:val="Heading2"/>
        <w:spacing w:after="110" w:before="260"/>
      </w:pPr>
      <w:r>
        <w:rPr>
          <w:rFonts w:ascii="Calibri" w:cs="Calibri" w:eastAsia="Calibri" w:hAnsi="Calibri"/>
          <w:b/>
          <w:bCs/>
          <w:color w:val="2E75B6"/>
          <w:sz w:val="25"/>
          <w:szCs w:val="25"/>
        </w:rPr>
        <w:t xml:space="preserve">13.3 Partner programme</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674"/>
        <w:gridCol w:w="6686"/>
      </w:tblGrid>
      <w:tr>
        <w:trPr>
          <w:tblHeader/>
        </w:trPr>
        <w:tc>
          <w:tcPr>
            <w:tcW w:type="dxa" w:w="267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Element</w:t>
            </w:r>
          </w:p>
        </w:tc>
        <w:tc>
          <w:tcPr>
            <w:tcW w:type="dxa" w:w="6686"/>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Design</w:t>
            </w:r>
          </w:p>
        </w:tc>
      </w:tr>
      <w:tr>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Who</w:t>
            </w:r>
          </w:p>
        </w:tc>
        <w:tc>
          <w:tcPr>
            <w:tcW w:type="dxa" w:w="668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System integrators and digital transformation consultancies delivering government and enterprise projects in Saudi Arabia and the GCC.</w:t>
            </w:r>
          </w:p>
        </w:tc>
      </w:tr>
      <w:tr>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What they get</w:t>
            </w:r>
          </w:p>
        </w:tc>
        <w:tc>
          <w:tcPr>
            <w:tcW w:type="dxa" w:w="668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Reseller margin, implementation revenue, multi-client portfolio tooling, partner-tier support, and co-branded evidence packs for their own clients.</w:t>
            </w:r>
          </w:p>
        </w:tc>
      </w:tr>
      <w:tr>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What we get</w:t>
            </w:r>
          </w:p>
        </w:tc>
        <w:tc>
          <w:tcPr>
            <w:tcW w:type="dxa" w:w="668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Distribution into accounts direct sales cannot reach economically, implementation capacity we do not have to hire, and credibility by association.</w:t>
            </w:r>
          </w:p>
        </w:tc>
      </w:tr>
      <w:tr>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Risk to manage</w:t>
            </w:r>
          </w:p>
        </w:tc>
        <w:tc>
          <w:tcPr>
            <w:tcW w:type="dxa" w:w="668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 partner who implements badly damages the product’s reputation in a small market. Certification of partner engineers is a precondition of the reseller margin, not an afterthought.</w:t>
            </w:r>
          </w:p>
        </w:tc>
      </w:tr>
    </w:tbl>
    <w:p>
      <w:pPr>
        <w:pStyle w:val="Heading1"/>
        <w:pageBreakBefore/>
        <w:spacing w:after="160" w:before="360"/>
      </w:pPr>
      <w:r>
        <w:rPr>
          <w:rFonts w:ascii="Calibri" w:cs="Calibri" w:eastAsia="Calibri" w:hAnsi="Calibri"/>
          <w:b/>
          <w:bCs/>
          <w:color w:val="1F4E79"/>
          <w:sz w:val="30"/>
          <w:szCs w:val="30"/>
        </w:rPr>
        <w:t xml:space="preserve">14. Risks — Version 2</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891"/>
        <w:gridCol w:w="3343"/>
        <w:gridCol w:w="891"/>
        <w:gridCol w:w="891"/>
        <w:gridCol w:w="3344"/>
      </w:tblGrid>
      <w:tr>
        <w:trPr>
          <w:tblHeader/>
        </w:trPr>
        <w:tc>
          <w:tcPr>
            <w:tcW w:type="dxa" w:w="891"/>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ID</w:t>
            </w:r>
          </w:p>
        </w:tc>
        <w:tc>
          <w:tcPr>
            <w:tcW w:type="dxa" w:w="3343"/>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Risk</w:t>
            </w:r>
          </w:p>
        </w:tc>
        <w:tc>
          <w:tcPr>
            <w:tcW w:type="dxa" w:w="891"/>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Prob.</w:t>
            </w:r>
          </w:p>
        </w:tc>
        <w:tc>
          <w:tcPr>
            <w:tcW w:type="dxa" w:w="891"/>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Impact</w:t>
            </w:r>
          </w:p>
        </w:tc>
        <w:tc>
          <w:tcPr>
            <w:tcW w:type="dxa" w:w="334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Mitigation</w:t>
            </w:r>
          </w:p>
        </w:tc>
      </w:tr>
      <w:tr>
        <w:tc>
          <w:tcPr>
            <w:tcW w:type="dxa" w:w="891"/>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R-201</w:t>
            </w:r>
          </w:p>
        </w:tc>
        <w:tc>
          <w:tcPr>
            <w:tcW w:type="dxa" w:w="334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Breadth without depth: twenty-seven modules that each work poorly, producing a demo-strong, use-weak product.</w:t>
            </w:r>
          </w:p>
        </w:tc>
        <w:tc>
          <w:tcPr>
            <w:tcW w:type="dxa" w:w="89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High</w:t>
            </w:r>
          </w:p>
        </w:tc>
        <w:tc>
          <w:tcPr>
            <w:tcW w:type="dxa" w:w="89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Critical</w:t>
            </w:r>
          </w:p>
        </w:tc>
        <w:tc>
          <w:tcPr>
            <w:tcW w:type="dxa" w:w="33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Release trains gated on adoption evidence, not on feature completion (section 15). A module that fails its adoption gate is fixed or cut before the next train departs.</w:t>
            </w:r>
          </w:p>
        </w:tc>
      </w:tr>
      <w:tr>
        <w:tc>
          <w:tcPr>
            <w:tcW w:type="dxa" w:w="89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R-202</w:t>
            </w:r>
          </w:p>
        </w:tc>
        <w:tc>
          <w:tcPr>
            <w:tcW w:type="dxa" w:w="334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UI test flakiness destroys trust in the whole platform, including the API testing that already worked.</w:t>
            </w:r>
          </w:p>
        </w:tc>
        <w:tc>
          <w:tcPr>
            <w:tcW w:type="dxa" w:w="89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High</w:t>
            </w:r>
          </w:p>
        </w:tc>
        <w:tc>
          <w:tcPr>
            <w:tcW w:type="dxa" w:w="89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Critical</w:t>
            </w:r>
          </w:p>
        </w:tc>
        <w:tc>
          <w:tcPr>
            <w:tcW w:type="dxa" w:w="33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Flakiness quarantine (BR-225) ships in the same train as UI testing, not later. UI results are visually separated from API results until stability is demonstrated.</w:t>
            </w:r>
          </w:p>
        </w:tc>
      </w:tr>
      <w:tr>
        <w:tc>
          <w:tcPr>
            <w:tcW w:type="dxa" w:w="891"/>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R-203</w:t>
            </w:r>
          </w:p>
        </w:tc>
        <w:tc>
          <w:tcPr>
            <w:tcW w:type="dxa" w:w="334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Self-healing repairs a locator to point at the wrong element, causing a test to pass when it should fail — a silent false negative.</w:t>
            </w:r>
          </w:p>
        </w:tc>
        <w:tc>
          <w:tcPr>
            <w:tcW w:type="dxa" w:w="89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Medium</w:t>
            </w:r>
          </w:p>
        </w:tc>
        <w:tc>
          <w:tcPr>
            <w:tcW w:type="dxa" w:w="89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Critical</w:t>
            </w:r>
          </w:p>
        </w:tc>
        <w:tc>
          <w:tcPr>
            <w:tcW w:type="dxa" w:w="33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Repairs require multi-signal agreement above a confidence threshold; below it, the test fails rather than heals. Every repair is reviewable and reversible, and healing never alters assertions.</w:t>
            </w:r>
          </w:p>
        </w:tc>
      </w:tr>
      <w:tr>
        <w:tc>
          <w:tcPr>
            <w:tcW w:type="dxa" w:w="89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R-204</w:t>
            </w:r>
          </w:p>
        </w:tc>
        <w:tc>
          <w:tcPr>
            <w:tcW w:type="dxa" w:w="334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copilot produces a confident, wrong answer about coverage, and a release ships on it.</w:t>
            </w:r>
          </w:p>
        </w:tc>
        <w:tc>
          <w:tcPr>
            <w:tcW w:type="dxa" w:w="89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Medium</w:t>
            </w:r>
          </w:p>
        </w:tc>
        <w:tc>
          <w:tcPr>
            <w:tcW w:type="dxa" w:w="89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Critical</w:t>
            </w:r>
          </w:p>
        </w:tc>
        <w:tc>
          <w:tcPr>
            <w:tcW w:type="dxa" w:w="33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BR-221: every answer cites artefacts; unanswerable questions return an explicit refusal. Copilot output is never an input to an automated gate decision.</w:t>
            </w:r>
          </w:p>
        </w:tc>
      </w:tr>
      <w:tr>
        <w:tc>
          <w:tcPr>
            <w:tcW w:type="dxa" w:w="891"/>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R-205</w:t>
            </w:r>
          </w:p>
        </w:tc>
        <w:tc>
          <w:tcPr>
            <w:tcW w:type="dxa" w:w="334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Risk-based selection misses a regression that reaches production.</w:t>
            </w:r>
          </w:p>
        </w:tc>
        <w:tc>
          <w:tcPr>
            <w:tcW w:type="dxa" w:w="89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Medium</w:t>
            </w:r>
          </w:p>
        </w:tc>
        <w:tc>
          <w:tcPr>
            <w:tcW w:type="dxa" w:w="89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High</w:t>
            </w:r>
          </w:p>
        </w:tc>
        <w:tc>
          <w:tcPr>
            <w:tcW w:type="dxa" w:w="33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Scheduled full runs remain mandatory; selection accuracy is measured and published (BO-205); customers configure their own risk appetite rather than inheriting ours.</w:t>
            </w:r>
          </w:p>
        </w:tc>
      </w:tr>
      <w:tr>
        <w:tc>
          <w:tcPr>
            <w:tcW w:type="dxa" w:w="89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R-206</w:t>
            </w:r>
          </w:p>
        </w:tc>
        <w:tc>
          <w:tcPr>
            <w:tcW w:type="dxa" w:w="334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Infrastructure cost — browsers, devices, inference — outruns pricing as customers succeed.</w:t>
            </w:r>
          </w:p>
        </w:tc>
        <w:tc>
          <w:tcPr>
            <w:tcW w:type="dxa" w:w="89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High</w:t>
            </w:r>
          </w:p>
        </w:tc>
        <w:tc>
          <w:tcPr>
            <w:tcW w:type="dxa" w:w="89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High</w:t>
            </w:r>
          </w:p>
        </w:tc>
        <w:tc>
          <w:tcPr>
            <w:tcW w:type="dxa" w:w="33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Metered capacity components (section 10.2); per-organisation cost telemetry from day one; self-hosted execution supported so heavy users can absorb their own compute.</w:t>
            </w:r>
          </w:p>
        </w:tc>
      </w:tr>
      <w:tr>
        <w:tc>
          <w:tcPr>
            <w:tcW w:type="dxa" w:w="891"/>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R-207</w:t>
            </w:r>
          </w:p>
        </w:tc>
        <w:tc>
          <w:tcPr>
            <w:tcW w:type="dxa" w:w="334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Engineering capacity is insufficient for the scope; everything slips together.</w:t>
            </w:r>
          </w:p>
        </w:tc>
        <w:tc>
          <w:tcPr>
            <w:tcW w:type="dxa" w:w="89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High</w:t>
            </w:r>
          </w:p>
        </w:tc>
        <w:tc>
          <w:tcPr>
            <w:tcW w:type="dxa" w:w="89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High</w:t>
            </w:r>
          </w:p>
        </w:tc>
        <w:tc>
          <w:tcPr>
            <w:tcW w:type="dxa" w:w="33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Trains are independently sellable. Section 16 states the hiring required per train; a train without its team does not start.</w:t>
            </w:r>
          </w:p>
        </w:tc>
      </w:tr>
      <w:tr>
        <w:tc>
          <w:tcPr>
            <w:tcW w:type="dxa" w:w="89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R-208</w:t>
            </w:r>
          </w:p>
        </w:tc>
        <w:tc>
          <w:tcPr>
            <w:tcW w:type="dxa" w:w="334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v1 customers are disrupted by the v2 transition, destroying the reference base the whole plan depends on.</w:t>
            </w:r>
          </w:p>
        </w:tc>
        <w:tc>
          <w:tcPr>
            <w:tcW w:type="dxa" w:w="89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Medium</w:t>
            </w:r>
          </w:p>
        </w:tc>
        <w:tc>
          <w:tcPr>
            <w:tcW w:type="dxa" w:w="89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Critical</w:t>
            </w:r>
          </w:p>
        </w:tc>
        <w:tc>
          <w:tcPr>
            <w:tcW w:type="dxa" w:w="33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BR-248: backward compatibility for data and API contracts is a release gate. v1 workflows remain available unchanged.</w:t>
            </w:r>
          </w:p>
        </w:tc>
      </w:tr>
      <w:tr>
        <w:tc>
          <w:tcPr>
            <w:tcW w:type="dxa" w:w="891"/>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R-209</w:t>
            </w:r>
          </w:p>
        </w:tc>
        <w:tc>
          <w:tcPr>
            <w:tcW w:type="dxa" w:w="334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Enterprise procurement stalls on compliance certifications that are not yet held.</w:t>
            </w:r>
          </w:p>
        </w:tc>
        <w:tc>
          <w:tcPr>
            <w:tcW w:type="dxa" w:w="89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High</w:t>
            </w:r>
          </w:p>
        </w:tc>
        <w:tc>
          <w:tcPr>
            <w:tcW w:type="dxa" w:w="89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Medium</w:t>
            </w:r>
          </w:p>
        </w:tc>
        <w:tc>
          <w:tcPr>
            <w:tcW w:type="dxa" w:w="33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Section 12 sequences certifications ahead of the segment that requires them; the compliance artefact set is a tracked deliverable with dates.</w:t>
            </w:r>
          </w:p>
        </w:tc>
      </w:tr>
      <w:tr>
        <w:tc>
          <w:tcPr>
            <w:tcW w:type="dxa" w:w="89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R-210</w:t>
            </w:r>
          </w:p>
        </w:tc>
        <w:tc>
          <w:tcPr>
            <w:tcW w:type="dxa" w:w="334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A partner implements poorly and a public reference sours in a small, well-connected market.</w:t>
            </w:r>
          </w:p>
        </w:tc>
        <w:tc>
          <w:tcPr>
            <w:tcW w:type="dxa" w:w="89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Medium</w:t>
            </w:r>
          </w:p>
        </w:tc>
        <w:tc>
          <w:tcPr>
            <w:tcW w:type="dxa" w:w="89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High</w:t>
            </w:r>
          </w:p>
        </w:tc>
        <w:tc>
          <w:tcPr>
            <w:tcW w:type="dxa" w:w="33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Certification gate before reseller status; direct involvement in the first two engagements of every new partner.</w:t>
            </w:r>
          </w:p>
        </w:tc>
      </w:tr>
      <w:tr>
        <w:tc>
          <w:tcPr>
            <w:tcW w:type="dxa" w:w="891"/>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R-211</w:t>
            </w:r>
          </w:p>
        </w:tc>
        <w:tc>
          <w:tcPr>
            <w:tcW w:type="dxa" w:w="334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A global competitor ships credible Arabic support during the v2 window.</w:t>
            </w:r>
          </w:p>
        </w:tc>
        <w:tc>
          <w:tcPr>
            <w:tcW w:type="dxa" w:w="89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Low</w:t>
            </w:r>
          </w:p>
        </w:tc>
        <w:tc>
          <w:tcPr>
            <w:tcW w:type="dxa" w:w="89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High</w:t>
            </w:r>
          </w:p>
        </w:tc>
        <w:tc>
          <w:tcPr>
            <w:tcW w:type="dxa" w:w="33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Sovereignty and the requirement-native model are the durable moat; language alone is not. Accumulate local reference density and switching cost quickly.</w:t>
            </w:r>
          </w:p>
        </w:tc>
      </w:tr>
      <w:tr>
        <w:tc>
          <w:tcPr>
            <w:tcW w:type="dxa" w:w="89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R-212</w:t>
            </w:r>
          </w:p>
        </w:tc>
        <w:tc>
          <w:tcPr>
            <w:tcW w:type="dxa" w:w="334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autonomous agent takes a destructive action in a customer environment.</w:t>
            </w:r>
          </w:p>
        </w:tc>
        <w:tc>
          <w:tcPr>
            <w:tcW w:type="dxa" w:w="89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Low</w:t>
            </w:r>
          </w:p>
        </w:tc>
        <w:tc>
          <w:tcPr>
            <w:tcW w:type="dxa" w:w="89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Critical</w:t>
            </w:r>
          </w:p>
        </w:tc>
        <w:tc>
          <w:tcPr>
            <w:tcW w:type="dxa" w:w="33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Non-production by default; explicit per-environment opt-in for anything else; destructive operations blocked unless allow-listed; full action audit and reversal (BR-228).</w:t>
            </w:r>
          </w:p>
        </w:tc>
      </w:tr>
    </w:tbl>
    <w:p>
      <w:pPr>
        <w:pStyle w:val="Heading1"/>
        <w:pageBreakBefore/>
        <w:spacing w:after="160" w:before="360"/>
      </w:pPr>
      <w:r>
        <w:rPr>
          <w:rFonts w:ascii="Calibri" w:cs="Calibri" w:eastAsia="Calibri" w:hAnsi="Calibri"/>
          <w:b/>
          <w:bCs/>
          <w:color w:val="1F4E79"/>
          <w:sz w:val="30"/>
          <w:szCs w:val="30"/>
        </w:rPr>
        <w:t xml:space="preserve">15. Release Trains</w:t>
      </w:r>
    </w:p>
    <w:p>
      <w:pPr>
        <w:spacing w:after="120" w:line="276"/>
      </w:pPr>
      <w:r>
        <w:rPr>
          <w:rFonts w:ascii="Calibri" w:cs="Calibri" w:eastAsia="Calibri" w:hAnsi="Calibri"/>
          <w:b w:val="false"/>
          <w:bCs w:val="false"/>
          <w:i w:val="false"/>
          <w:iCs w:val="false"/>
          <w:color w:val="262626"/>
          <w:sz w:val="21"/>
          <w:szCs w:val="21"/>
        </w:rPr>
        <w:t xml:space="preserve">Four trains, each independently sellable and each gated on evidence from the last. Durations assume the team described in section 16.</w:t>
      </w:r>
    </w:p>
    <w:p>
      <w:pPr>
        <w:pStyle w:val="Heading2"/>
        <w:spacing w:after="110" w:before="260"/>
      </w:pPr>
      <w:r>
        <w:rPr>
          <w:rFonts w:ascii="Calibri" w:cs="Calibri" w:eastAsia="Calibri" w:hAnsi="Calibri"/>
          <w:b/>
          <w:bCs/>
          <w:color w:val="2E75B6"/>
          <w:sz w:val="25"/>
          <w:szCs w:val="25"/>
        </w:rPr>
        <w:t xml:space="preserve">15.1 Train summary</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232"/>
        <w:gridCol w:w="1478"/>
        <w:gridCol w:w="3695"/>
        <w:gridCol w:w="2955"/>
      </w:tblGrid>
      <w:tr>
        <w:trPr>
          <w:tblHeader/>
        </w:trPr>
        <w:tc>
          <w:tcPr>
            <w:tcW w:type="dxa" w:w="1232"/>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Train</w:t>
            </w:r>
          </w:p>
        </w:tc>
        <w:tc>
          <w:tcPr>
            <w:tcW w:type="dxa" w:w="147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Duration</w:t>
            </w:r>
          </w:p>
        </w:tc>
        <w:tc>
          <w:tcPr>
            <w:tcW w:type="dxa" w:w="3695"/>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Delivers</w:t>
            </w:r>
          </w:p>
        </w:tc>
        <w:tc>
          <w:tcPr>
            <w:tcW w:type="dxa" w:w="2955"/>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Sellable on its own as</w:t>
            </w:r>
          </w:p>
        </w:tc>
      </w:tr>
      <w:tr>
        <w:tc>
          <w:tcPr>
            <w:tcW w:type="dxa" w:w="1232"/>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2.0</w:t>
            </w:r>
          </w:p>
        </w:tc>
        <w:tc>
          <w:tcPr>
            <w:tcW w:type="dxa" w:w="147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10–12 weeks</w:t>
            </w:r>
          </w:p>
        </w:tc>
        <w:tc>
          <w:tcPr>
            <w:tcW w:type="dxa" w:w="369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UI functional testing with self-healing, traffic-based API discovery, browser matrix, test cycles, defect management and Jira/ADO sync, CI/CD plugins and quality gate, public API, SSO, v1 compatibility.</w:t>
            </w:r>
          </w:p>
        </w:tc>
        <w:tc>
          <w:tcPr>
            <w:tcW w:type="dxa" w:w="295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"Complete test coverage with automation that maintains itself."</w:t>
            </w:r>
          </w:p>
        </w:tc>
      </w:tr>
      <w:tr>
        <w:tc>
          <w:tcPr>
            <w:tcW w:type="dxa" w:w="123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2.1</w:t>
            </w:r>
          </w:p>
        </w:tc>
        <w:tc>
          <w:tcPr>
            <w:tcW w:type="dxa" w:w="147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10–12 weeks</w:t>
            </w:r>
          </w:p>
        </w:tc>
        <w:tc>
          <w:tcPr>
            <w:tcW w:type="dxa" w:w="369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Copilot, maintenance agent, flakiness quarantine, visual regression, RTL and localisation validation, accessibility auditing, release gates, evidence packs, portfolio dashboards, executive scorecard, custom roles, audit and retention, Arabic interface parity, test data management, environment management, SDKs and webhooks.</w:t>
            </w:r>
          </w:p>
        </w:tc>
        <w:tc>
          <w:tcPr>
            <w:tcW w:type="dxa" w:w="295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"The quality platform your leadership reports from."</w:t>
            </w:r>
          </w:p>
        </w:tc>
      </w:tr>
      <w:tr>
        <w:tc>
          <w:tcPr>
            <w:tcW w:type="dxa" w:w="1232"/>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2.2</w:t>
            </w:r>
          </w:p>
        </w:tc>
        <w:tc>
          <w:tcPr>
            <w:tcW w:type="dxa" w:w="147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10–12 weeks</w:t>
            </w:r>
          </w:p>
        </w:tc>
        <w:tc>
          <w:tcPr>
            <w:tcW w:type="dxa" w:w="369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Risk-based selection, root cause analysis, exploratory agent, mobile testing, protocol expansion, service virtualisation, multi-entity tenancy, project templates, approval workflows, migration tooling, on-premise and air-gapped distribution.</w:t>
            </w:r>
          </w:p>
        </w:tc>
        <w:tc>
          <w:tcPr>
            <w:tcW w:type="dxa" w:w="295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"Quality intelligence, deployed inside your perimeter."</w:t>
            </w:r>
          </w:p>
        </w:tc>
      </w:tr>
      <w:tr>
        <w:tc>
          <w:tcPr>
            <w:tcW w:type="dxa" w:w="123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2.3</w:t>
            </w:r>
          </w:p>
        </w:tc>
        <w:tc>
          <w:tcPr>
            <w:tcW w:type="dxa" w:w="147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10–12 weeks</w:t>
            </w:r>
          </w:p>
        </w:tc>
        <w:tc>
          <w:tcPr>
            <w:tcW w:type="dxa" w:w="369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Predictive quality signals, extension marketplace, multi-region residency, GCC localisation, partner portal, advanced analytics.</w:t>
            </w:r>
          </w:p>
        </w:tc>
        <w:tc>
          <w:tcPr>
            <w:tcW w:type="dxa" w:w="295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"An ecosystem, not a tool."</w:t>
            </w:r>
          </w:p>
        </w:tc>
      </w:tr>
    </w:tbl>
    <w:p>
      <w:pPr>
        <w:pStyle w:val="Heading2"/>
        <w:spacing w:after="110" w:before="260"/>
      </w:pPr>
      <w:r>
        <w:rPr>
          <w:rFonts w:ascii="Calibri" w:cs="Calibri" w:eastAsia="Calibri" w:hAnsi="Calibri"/>
          <w:b/>
          <w:bCs/>
          <w:color w:val="2E75B6"/>
          <w:sz w:val="25"/>
          <w:szCs w:val="25"/>
        </w:rPr>
        <w:t xml:space="preserve">15.2 Gates between trains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471"/>
        <w:gridCol w:w="4011"/>
        <w:gridCol w:w="3878"/>
      </w:tblGrid>
      <w:tr>
        <w:trPr>
          <w:tblHeader/>
        </w:trPr>
        <w:tc>
          <w:tcPr>
            <w:tcW w:type="dxa" w:w="1471"/>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Gate</w:t>
            </w:r>
          </w:p>
        </w:tc>
        <w:tc>
          <w:tcPr>
            <w:tcW w:type="dxa" w:w="4011"/>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Condition to depart the next train</w:t>
            </w:r>
          </w:p>
        </w:tc>
        <w:tc>
          <w:tcPr>
            <w:tcW w:type="dxa" w:w="387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If not met</w:t>
            </w:r>
          </w:p>
        </w:tc>
      </w:tr>
      <w:tr>
        <w:tc>
          <w:tcPr>
            <w:tcW w:type="dxa" w:w="1471"/>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T-2.0→2.1</w:t>
            </w:r>
          </w:p>
        </w:tc>
        <w:tc>
          <w:tcPr>
            <w:tcW w:type="dxa" w:w="401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UI locator-breakage failure rate below 10% (BO-201) and at least three accounts running a CI/CD gate.</w:t>
            </w:r>
          </w:p>
        </w:tc>
        <w:tc>
          <w:tcPr>
            <w:tcW w:type="dxa" w:w="387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Stabilise UI execution before adding intelligence on top of an unreliable substrate.</w:t>
            </w:r>
          </w:p>
        </w:tc>
      </w:tr>
      <w:tr>
        <w:tc>
          <w:tcPr>
            <w:tcW w:type="dxa" w:w="147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T-2.1→2.2</w:t>
            </w:r>
          </w:p>
        </w:tc>
        <w:tc>
          <w:tcPr>
            <w:tcW w:type="dxa" w:w="401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Copilot weekly engagement above 50% (BO-204) and at least two customers presenting a portfolio dashboard to their own leadership.</w:t>
            </w:r>
          </w:p>
        </w:tc>
        <w:tc>
          <w:tcPr>
            <w:tcW w:type="dxa" w:w="387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The elevation motion has not worked; revisit the analytics before opening new segments.</w:t>
            </w:r>
          </w:p>
        </w:tc>
      </w:tr>
      <w:tr>
        <w:tc>
          <w:tcPr>
            <w:tcW w:type="dxa" w:w="1471"/>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T-2.2→2.3</w:t>
            </w:r>
          </w:p>
        </w:tc>
        <w:tc>
          <w:tcPr>
            <w:tcW w:type="dxa" w:w="401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At least one on-premise deployment in production and risk-selection miss rate below 2% (BO-205).</w:t>
            </w:r>
          </w:p>
        </w:tc>
        <w:tc>
          <w:tcPr>
            <w:tcW w:type="dxa" w:w="387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Sovereign packaging is not ready to scale; do not open the partner channel on an unproven deployment story.</w:t>
            </w:r>
          </w:p>
        </w:tc>
      </w:tr>
    </w:tbl>
    <w:p>
      <w:pPr>
        <w:pStyle w:val="Heading1"/>
        <w:pageBreakBefore/>
        <w:spacing w:after="160" w:before="360"/>
      </w:pPr>
      <w:r>
        <w:rPr>
          <w:rFonts w:ascii="Calibri" w:cs="Calibri" w:eastAsia="Calibri" w:hAnsi="Calibri"/>
          <w:b/>
          <w:bCs/>
          <w:color w:val="1F4E79"/>
          <w:sz w:val="30"/>
          <w:szCs w:val="30"/>
        </w:rPr>
        <w:t xml:space="preserve">16. Investment and Team Plan</w:t>
      </w:r>
    </w:p>
    <w:p>
      <w:pPr>
        <w:pStyle w:val="Heading2"/>
        <w:spacing w:after="110" w:before="260"/>
      </w:pPr>
      <w:r>
        <w:rPr>
          <w:rFonts w:ascii="Calibri" w:cs="Calibri" w:eastAsia="Calibri" w:hAnsi="Calibri"/>
          <w:b/>
          <w:bCs/>
          <w:color w:val="2E75B6"/>
          <w:sz w:val="25"/>
          <w:szCs w:val="25"/>
        </w:rPr>
        <w:t xml:space="preserve">16.1 Capability required</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674"/>
        <w:gridCol w:w="1605"/>
        <w:gridCol w:w="5081"/>
      </w:tblGrid>
      <w:tr>
        <w:trPr>
          <w:tblHeader/>
        </w:trPr>
        <w:tc>
          <w:tcPr>
            <w:tcW w:type="dxa" w:w="267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Capability</w:t>
            </w:r>
          </w:p>
        </w:tc>
        <w:tc>
          <w:tcPr>
            <w:tcW w:type="dxa" w:w="1605"/>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Train</w:t>
            </w:r>
          </w:p>
        </w:tc>
        <w:tc>
          <w:tcPr>
            <w:tcW w:type="dxa" w:w="5081"/>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Why it is needed</w:t>
            </w:r>
          </w:p>
        </w:tc>
      </w:tr>
      <w:tr>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Browser automation engineer</w:t>
            </w:r>
          </w:p>
        </w:tc>
        <w:tc>
          <w:tcPr>
            <w:tcW w:type="dxa" w:w="160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2.0</w:t>
            </w:r>
          </w:p>
        </w:tc>
        <w:tc>
          <w:tcPr>
            <w:tcW w:type="dxa" w:w="508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UI execution and healing is the highest-risk engineering in v2 and needs dedicated ownership rather than shared attention.</w:t>
            </w:r>
          </w:p>
        </w:tc>
      </w:tr>
      <w:tr>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Applied ML / AI engineer</w:t>
            </w:r>
          </w:p>
        </w:tc>
        <w:tc>
          <w:tcPr>
            <w:tcW w:type="dxa" w:w="160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2.1</w:t>
            </w:r>
          </w:p>
        </w:tc>
        <w:tc>
          <w:tcPr>
            <w:tcW w:type="dxa" w:w="508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Copilot grounding, agent safety, healing confidence models and risk scoring are a discipline, not a set of prompts.</w:t>
            </w:r>
          </w:p>
        </w:tc>
      </w:tr>
      <w:tr>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Frontend engineer</w:t>
            </w:r>
          </w:p>
        </w:tc>
        <w:tc>
          <w:tcPr>
            <w:tcW w:type="dxa" w:w="160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2.1</w:t>
            </w:r>
          </w:p>
        </w:tc>
        <w:tc>
          <w:tcPr>
            <w:tcW w:type="dxa" w:w="508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The interface surface roughly triples; dashboards and Arabic parity are substantial work in their own right.</w:t>
            </w:r>
          </w:p>
        </w:tc>
      </w:tr>
      <w:tr>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DevOps / SRE</w:t>
            </w:r>
          </w:p>
        </w:tc>
        <w:tc>
          <w:tcPr>
            <w:tcW w:type="dxa" w:w="160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2.2</w:t>
            </w:r>
          </w:p>
        </w:tc>
        <w:tc>
          <w:tcPr>
            <w:tcW w:type="dxa" w:w="508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Browser grids, device farms, multi-region and on-premise packaging cannot be a side responsibility.</w:t>
            </w:r>
          </w:p>
        </w:tc>
      </w:tr>
      <w:tr>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Security and compliance lead (may be fractional)</w:t>
            </w:r>
          </w:p>
        </w:tc>
        <w:tc>
          <w:tcPr>
            <w:tcW w:type="dxa" w:w="160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2.1</w:t>
            </w:r>
          </w:p>
        </w:tc>
        <w:tc>
          <w:tcPr>
            <w:tcW w:type="dxa" w:w="508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ISO 27001, NCA mapping and customer security reviews are a continuous workload once enterprise selling begins.</w:t>
            </w:r>
          </w:p>
        </w:tc>
      </w:tr>
      <w:tr>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Solutions engineer</w:t>
            </w:r>
          </w:p>
        </w:tc>
        <w:tc>
          <w:tcPr>
            <w:tcW w:type="dxa" w:w="160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2.2</w:t>
            </w:r>
          </w:p>
        </w:tc>
        <w:tc>
          <w:tcPr>
            <w:tcW w:type="dxa" w:w="508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Enterprise and sovereign deals require technical pre-sales and implementation support.</w:t>
            </w:r>
          </w:p>
        </w:tc>
      </w:tr>
      <w:tr>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Partner manager</w:t>
            </w:r>
          </w:p>
        </w:tc>
        <w:tc>
          <w:tcPr>
            <w:tcW w:type="dxa" w:w="160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2.3</w:t>
            </w:r>
          </w:p>
        </w:tc>
        <w:tc>
          <w:tcPr>
            <w:tcW w:type="dxa" w:w="508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The channel does not run itself; an unmanaged partner programme produces bad implementations.</w:t>
            </w:r>
          </w:p>
        </w:tc>
      </w:tr>
    </w:tbl>
    <w:p>
      <w:pPr>
        <w:pStyle w:val="Heading2"/>
        <w:spacing w:after="110" w:before="260"/>
      </w:pPr>
      <w:r>
        <w:rPr>
          <w:rFonts w:ascii="Calibri" w:cs="Calibri" w:eastAsia="Calibri" w:hAnsi="Calibri"/>
          <w:b/>
          <w:bCs/>
          <w:color w:val="2E75B6"/>
          <w:sz w:val="25"/>
          <w:szCs w:val="25"/>
        </w:rPr>
        <w:t xml:space="preserve">16.2 Cost envelope drivers</w:t>
      </w:r>
    </w:p>
    <w:p>
      <w:pPr>
        <w:pStyle w:val="ListParagraph"/>
        <w:numPr>
          <w:ilvl w:val="0"/>
          <w:numId w:val="2"/>
        </w:numPr>
        <w:spacing w:after="70" w:line="268"/>
      </w:pPr>
      <w:r>
        <w:rPr>
          <w:rFonts w:ascii="Calibri" w:cs="Calibri" w:eastAsia="Calibri" w:hAnsi="Calibri"/>
          <w:b/>
          <w:bCs/>
          <w:i w:val="false"/>
          <w:iCs w:val="false"/>
          <w:color w:val="262626"/>
          <w:sz w:val="21"/>
          <w:szCs w:val="21"/>
        </w:rPr>
        <w:t xml:space="preserve">People </w:t>
      </w:r>
      <w:r>
        <w:rPr>
          <w:rFonts w:ascii="Calibri" w:cs="Calibri" w:eastAsia="Calibri" w:hAnsi="Calibri"/>
          <w:b w:val="false"/>
          <w:bCs w:val="false"/>
          <w:i w:val="false"/>
          <w:iCs w:val="false"/>
          <w:color w:val="262626"/>
          <w:sz w:val="21"/>
          <w:szCs w:val="21"/>
        </w:rPr>
        <w:t xml:space="preserve">— the dominant cost, and the one that determines whether the train schedule is real.</w:t>
      </w:r>
    </w:p>
    <w:p>
      <w:pPr>
        <w:pStyle w:val="ListParagraph"/>
        <w:numPr>
          <w:ilvl w:val="0"/>
          <w:numId w:val="2"/>
        </w:numPr>
        <w:spacing w:after="70" w:line="268"/>
      </w:pPr>
      <w:r>
        <w:rPr>
          <w:rFonts w:ascii="Calibri" w:cs="Calibri" w:eastAsia="Calibri" w:hAnsi="Calibri"/>
          <w:b/>
          <w:bCs/>
          <w:i w:val="false"/>
          <w:iCs w:val="false"/>
          <w:color w:val="262626"/>
          <w:sz w:val="21"/>
          <w:szCs w:val="21"/>
        </w:rPr>
        <w:t xml:space="preserve">Execution infrastructure </w:t>
      </w:r>
      <w:r>
        <w:rPr>
          <w:rFonts w:ascii="Calibri" w:cs="Calibri" w:eastAsia="Calibri" w:hAnsi="Calibri"/>
          <w:b w:val="false"/>
          <w:bCs w:val="false"/>
          <w:i w:val="false"/>
          <w:iCs w:val="false"/>
          <w:color w:val="262626"/>
          <w:sz w:val="21"/>
          <w:szCs w:val="21"/>
        </w:rPr>
        <w:t xml:space="preserve">— browser grid and device capacity, scaling with customer usage. Partly recoverable through metered plan components.</w:t>
      </w:r>
    </w:p>
    <w:p>
      <w:pPr>
        <w:pStyle w:val="ListParagraph"/>
        <w:numPr>
          <w:ilvl w:val="0"/>
          <w:numId w:val="2"/>
        </w:numPr>
        <w:spacing w:after="70" w:line="268"/>
      </w:pPr>
      <w:r>
        <w:rPr>
          <w:rFonts w:ascii="Calibri" w:cs="Calibri" w:eastAsia="Calibri" w:hAnsi="Calibri"/>
          <w:b/>
          <w:bCs/>
          <w:i w:val="false"/>
          <w:iCs w:val="false"/>
          <w:color w:val="262626"/>
          <w:sz w:val="21"/>
          <w:szCs w:val="21"/>
        </w:rPr>
        <w:t xml:space="preserve">Model inference </w:t>
      </w:r>
      <w:r>
        <w:rPr>
          <w:rFonts w:ascii="Calibri" w:cs="Calibri" w:eastAsia="Calibri" w:hAnsi="Calibri"/>
          <w:b w:val="false"/>
          <w:bCs w:val="false"/>
          <w:i w:val="false"/>
          <w:iCs w:val="false"/>
          <w:color w:val="262626"/>
          <w:sz w:val="21"/>
          <w:szCs w:val="21"/>
        </w:rPr>
        <w:t xml:space="preserve">— grows with copilot and agent adoption. Must be metered per organisation from the first day of release 2.1, not retrofitted once it becomes a problem.</w:t>
      </w:r>
    </w:p>
    <w:p>
      <w:pPr>
        <w:pStyle w:val="ListParagraph"/>
        <w:numPr>
          <w:ilvl w:val="0"/>
          <w:numId w:val="2"/>
        </w:numPr>
        <w:spacing w:after="70" w:line="268"/>
      </w:pPr>
      <w:r>
        <w:rPr>
          <w:rFonts w:ascii="Calibri" w:cs="Calibri" w:eastAsia="Calibri" w:hAnsi="Calibri"/>
          <w:b/>
          <w:bCs/>
          <w:i w:val="false"/>
          <w:iCs w:val="false"/>
          <w:color w:val="262626"/>
          <w:sz w:val="21"/>
          <w:szCs w:val="21"/>
        </w:rPr>
        <w:t xml:space="preserve">Compliance </w:t>
      </w:r>
      <w:r>
        <w:rPr>
          <w:rFonts w:ascii="Calibri" w:cs="Calibri" w:eastAsia="Calibri" w:hAnsi="Calibri"/>
          <w:b w:val="false"/>
          <w:bCs w:val="false"/>
          <w:i w:val="false"/>
          <w:iCs w:val="false"/>
          <w:color w:val="262626"/>
          <w:sz w:val="21"/>
          <w:szCs w:val="21"/>
        </w:rPr>
        <w:t xml:space="preserve">— certification audits, penetration testing, and the internal time to maintain the control set.</w:t>
      </w:r>
    </w:p>
    <w:p>
      <w:pPr>
        <w:pStyle w:val="ListParagraph"/>
        <w:numPr>
          <w:ilvl w:val="0"/>
          <w:numId w:val="2"/>
        </w:numPr>
        <w:spacing w:after="70" w:line="268"/>
      </w:pPr>
      <w:r>
        <w:rPr>
          <w:rFonts w:ascii="Calibri" w:cs="Calibri" w:eastAsia="Calibri" w:hAnsi="Calibri"/>
          <w:b/>
          <w:bCs/>
          <w:i w:val="false"/>
          <w:iCs w:val="false"/>
          <w:color w:val="262626"/>
          <w:sz w:val="21"/>
          <w:szCs w:val="21"/>
        </w:rPr>
        <w:t xml:space="preserve">Support </w:t>
      </w:r>
      <w:r>
        <w:rPr>
          <w:rFonts w:ascii="Calibri" w:cs="Calibri" w:eastAsia="Calibri" w:hAnsi="Calibri"/>
          <w:b w:val="false"/>
          <w:bCs w:val="false"/>
          <w:i w:val="false"/>
          <w:iCs w:val="false"/>
          <w:color w:val="262626"/>
          <w:sz w:val="21"/>
          <w:szCs w:val="21"/>
        </w:rPr>
        <w:t xml:space="preserve">— on-premise customers consume materially more support per unit of revenue. Priced explicitly in the Sovereign plan.</w:t>
      </w:r>
    </w:p>
    <w:p>
      <w:pPr>
        <w:pStyle w:val="Heading1"/>
        <w:pageBreakBefore/>
        <w:spacing w:after="160" w:before="360"/>
      </w:pPr>
      <w:r>
        <w:rPr>
          <w:rFonts w:ascii="Calibri" w:cs="Calibri" w:eastAsia="Calibri" w:hAnsi="Calibri"/>
          <w:b/>
          <w:bCs/>
          <w:color w:val="1F4E79"/>
          <w:sz w:val="30"/>
          <w:szCs w:val="30"/>
        </w:rPr>
        <w:t xml:space="preserve">17. Decisions Required Before the Programme Starts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070"/>
        <w:gridCol w:w="5349"/>
        <w:gridCol w:w="2941"/>
      </w:tblGrid>
      <w:tr>
        <w:trPr>
          <w:tblHeader/>
        </w:trPr>
        <w:tc>
          <w:tcPr>
            <w:tcW w:type="dxa" w:w="107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ID</w:t>
            </w:r>
          </w:p>
        </w:tc>
        <w:tc>
          <w:tcPr>
            <w:tcW w:type="dxa" w:w="5349"/>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Decision</w:t>
            </w:r>
          </w:p>
        </w:tc>
        <w:tc>
          <w:tcPr>
            <w:tcW w:type="dxa" w:w="2941"/>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Owner / basis</w:t>
            </w:r>
          </w:p>
        </w:tc>
      </w:tr>
      <w:tr>
        <w:tc>
          <w:tcPr>
            <w:tcW w:type="dxa" w:w="107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V2-01</w:t>
            </w:r>
          </w:p>
        </w:tc>
        <w:tc>
          <w:tcPr>
            <w:tcW w:type="dxa" w:w="534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Confirm all six v1 entry gates are passed, and if not, which reduced v2 shape applies (section 3).</w:t>
            </w:r>
          </w:p>
        </w:tc>
        <w:tc>
          <w:tcPr>
            <w:tcW w:type="dxa" w:w="294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Product Owner, from the Pilot Evidence Report.</w:t>
            </w:r>
          </w:p>
        </w:tc>
      </w:tr>
      <w:tr>
        <w:tc>
          <w:tcPr>
            <w:tcW w:type="dxa" w:w="107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V2-02</w:t>
            </w:r>
          </w:p>
        </w:tc>
        <w:tc>
          <w:tcPr>
            <w:tcW w:type="dxa" w:w="534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Confirm the release-train order. Specifically: does UI coverage (2.0) or governance and analytics (2.1) come first? The answer depends on whether pilot evidence shows coverage or retention as the binding constraint.</w:t>
            </w:r>
          </w:p>
        </w:tc>
        <w:tc>
          <w:tcPr>
            <w:tcW w:type="dxa" w:w="294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Product Owner with design partners.</w:t>
            </w:r>
          </w:p>
        </w:tc>
      </w:tr>
      <w:tr>
        <w:tc>
          <w:tcPr>
            <w:tcW w:type="dxa" w:w="107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V2-03</w:t>
            </w:r>
          </w:p>
        </w:tc>
        <w:tc>
          <w:tcPr>
            <w:tcW w:type="dxa" w:w="534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Decide whether mobile testing is built or partnered in release 2.2.</w:t>
            </w:r>
          </w:p>
        </w:tc>
        <w:tc>
          <w:tcPr>
            <w:tcW w:type="dxa" w:w="294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Head of Engineering — build cost versus device-farm partnership.</w:t>
            </w:r>
          </w:p>
        </w:tc>
      </w:tr>
      <w:tr>
        <w:tc>
          <w:tcPr>
            <w:tcW w:type="dxa" w:w="107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V2-04</w:t>
            </w:r>
          </w:p>
        </w:tc>
        <w:tc>
          <w:tcPr>
            <w:tcW w:type="dxa" w:w="534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Decide the pricing points for all five plans and the metered components, informed by v1 conversion evidence.</w:t>
            </w:r>
          </w:p>
        </w:tc>
        <w:tc>
          <w:tcPr>
            <w:tcW w:type="dxa" w:w="294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Product Owner.</w:t>
            </w:r>
          </w:p>
        </w:tc>
      </w:tr>
      <w:tr>
        <w:tc>
          <w:tcPr>
            <w:tcW w:type="dxa" w:w="107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V2-05</w:t>
            </w:r>
          </w:p>
        </w:tc>
        <w:tc>
          <w:tcPr>
            <w:tcW w:type="dxa" w:w="534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Decide whether the extension marketplace is genuinely wanted by customers or is a roadmap item borrowed from other platforms.</w:t>
            </w:r>
          </w:p>
        </w:tc>
        <w:tc>
          <w:tcPr>
            <w:tcW w:type="dxa" w:w="294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Product Owner — validate with at least five customers before committing 2.3 capacity.</w:t>
            </w:r>
          </w:p>
        </w:tc>
      </w:tr>
      <w:tr>
        <w:tc>
          <w:tcPr>
            <w:tcW w:type="dxa" w:w="107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V2-06</w:t>
            </w:r>
          </w:p>
        </w:tc>
        <w:tc>
          <w:tcPr>
            <w:tcW w:type="dxa" w:w="534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Decide the self-hosted model for air-gapped deployment and the minimum acceptable quality relative to the hosted configuration.</w:t>
            </w:r>
          </w:p>
        </w:tc>
        <w:tc>
          <w:tcPr>
            <w:tcW w:type="dxa" w:w="294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Head of Engineering with Applied ML.</w:t>
            </w:r>
          </w:p>
        </w:tc>
      </w:tr>
      <w:tr>
        <w:tc>
          <w:tcPr>
            <w:tcW w:type="dxa" w:w="107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V2-07</w:t>
            </w:r>
          </w:p>
        </w:tc>
        <w:tc>
          <w:tcPr>
            <w:tcW w:type="dxa" w:w="534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Decide the certification sequence and budget: ISO 27001 first, or NCA mapping first, based on which segment is entered first.</w:t>
            </w:r>
          </w:p>
        </w:tc>
        <w:tc>
          <w:tcPr>
            <w:tcW w:type="dxa" w:w="294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Product Owner with Security lead.</w:t>
            </w:r>
          </w:p>
        </w:tc>
      </w:tr>
      <w:tr>
        <w:tc>
          <w:tcPr>
            <w:tcW w:type="dxa" w:w="107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V2-08</w:t>
            </w:r>
          </w:p>
        </w:tc>
        <w:tc>
          <w:tcPr>
            <w:tcW w:type="dxa" w:w="534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Decide the hiring sequence and confirm funding before train 2.1, since that train assumes three roles that do not yet exist.</w:t>
            </w:r>
          </w:p>
        </w:tc>
        <w:tc>
          <w:tcPr>
            <w:tcW w:type="dxa" w:w="294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Founder.</w:t>
            </w:r>
          </w:p>
        </w:tc>
      </w:tr>
    </w:tbl>
    <w:p>
      <w:pPr>
        <w:pStyle w:val="Heading1"/>
        <w:pageBreakBefore/>
        <w:spacing w:after="160" w:before="360"/>
      </w:pPr>
      <w:r>
        <w:rPr>
          <w:rFonts w:ascii="Calibri" w:cs="Calibri" w:eastAsia="Calibri" w:hAnsi="Calibri"/>
          <w:b/>
          <w:bCs/>
          <w:color w:val="1F4E79"/>
          <w:sz w:val="30"/>
          <w:szCs w:val="30"/>
        </w:rPr>
        <w:t xml:space="preserve">18. Traceability — Business Requirements to SRS v2</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337"/>
        <w:gridCol w:w="3744"/>
        <w:gridCol w:w="4279"/>
      </w:tblGrid>
      <w:tr>
        <w:trPr>
          <w:tblHeader/>
        </w:trPr>
        <w:tc>
          <w:tcPr>
            <w:tcW w:type="dxa" w:w="133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BR</w:t>
            </w:r>
          </w:p>
        </w:tc>
        <w:tc>
          <w:tcPr>
            <w:tcW w:type="dxa" w:w="374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Business requirement (abbreviated)</w:t>
            </w:r>
          </w:p>
        </w:tc>
        <w:tc>
          <w:tcPr>
            <w:tcW w:type="dxa" w:w="4279"/>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SRS v2 functional requirements</w:t>
            </w:r>
          </w:p>
        </w:tc>
      </w:tr>
      <w:tr>
        <w:tc>
          <w:tcPr>
            <w:tcW w:type="dxa" w:w="133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BR-201</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UI functional testing</w:t>
            </w:r>
          </w:p>
        </w:tc>
        <w:tc>
          <w:tcPr>
            <w:tcW w:type="dxa" w:w="427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FR-UIT-01 … FR-UIT-12</w:t>
            </w:r>
          </w:p>
        </w:tc>
      </w:tr>
      <w:tr>
        <w:tc>
          <w:tcPr>
            <w:tcW w:type="dxa" w:w="133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BR-202</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Self-healing locators</w:t>
            </w:r>
          </w:p>
        </w:tc>
        <w:tc>
          <w:tcPr>
            <w:tcW w:type="dxa" w:w="427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FR-SLF-01 … FR-SLF-08</w:t>
            </w:r>
          </w:p>
        </w:tc>
      </w:tr>
      <w:tr>
        <w:tc>
          <w:tcPr>
            <w:tcW w:type="dxa" w:w="133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BR-203</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Traffic-based API discovery</w:t>
            </w:r>
          </w:p>
        </w:tc>
        <w:tc>
          <w:tcPr>
            <w:tcW w:type="dxa" w:w="427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FR-TRF-01 … FR-TRF-09</w:t>
            </w:r>
          </w:p>
        </w:tc>
      </w:tr>
      <w:tr>
        <w:tc>
          <w:tcPr>
            <w:tcW w:type="dxa" w:w="133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BR-204</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Visual regression</w:t>
            </w:r>
          </w:p>
        </w:tc>
        <w:tc>
          <w:tcPr>
            <w:tcW w:type="dxa" w:w="427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FR-VIS-01 … FR-VIS-07</w:t>
            </w:r>
          </w:p>
        </w:tc>
      </w:tr>
      <w:tr>
        <w:tc>
          <w:tcPr>
            <w:tcW w:type="dxa" w:w="133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BR-205</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RTL and localisation validation</w:t>
            </w:r>
          </w:p>
        </w:tc>
        <w:tc>
          <w:tcPr>
            <w:tcW w:type="dxa" w:w="427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FR-RTL-01 … FR-RTL-08</w:t>
            </w:r>
          </w:p>
        </w:tc>
      </w:tr>
      <w:tr>
        <w:tc>
          <w:tcPr>
            <w:tcW w:type="dxa" w:w="133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BR-206</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Accessibility auditing</w:t>
            </w:r>
          </w:p>
        </w:tc>
        <w:tc>
          <w:tcPr>
            <w:tcW w:type="dxa" w:w="427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FR-ACC-01 … FR-ACC-06</w:t>
            </w:r>
          </w:p>
        </w:tc>
      </w:tr>
      <w:tr>
        <w:tc>
          <w:tcPr>
            <w:tcW w:type="dxa" w:w="133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BR-207</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Mobile testing</w:t>
            </w:r>
          </w:p>
        </w:tc>
        <w:tc>
          <w:tcPr>
            <w:tcW w:type="dxa" w:w="427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FR-MOB-01 … FR-MOB-07</w:t>
            </w:r>
          </w:p>
        </w:tc>
      </w:tr>
      <w:tr>
        <w:tc>
          <w:tcPr>
            <w:tcW w:type="dxa" w:w="133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BR-208</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Protocol expansion</w:t>
            </w:r>
          </w:p>
        </w:tc>
        <w:tc>
          <w:tcPr>
            <w:tcW w:type="dxa" w:w="427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FR-PRT-01 … FR-PRT-05</w:t>
            </w:r>
          </w:p>
        </w:tc>
      </w:tr>
      <w:tr>
        <w:tc>
          <w:tcPr>
            <w:tcW w:type="dxa" w:w="133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BR-209</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Browser and viewport matrix</w:t>
            </w:r>
          </w:p>
        </w:tc>
        <w:tc>
          <w:tcPr>
            <w:tcW w:type="dxa" w:w="427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FR-UIT-09, FR-EXE-20, FR-EXE-21</w:t>
            </w:r>
          </w:p>
        </w:tc>
      </w:tr>
      <w:tr>
        <w:tc>
          <w:tcPr>
            <w:tcW w:type="dxa" w:w="133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BR-210</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Test cycles and plans</w:t>
            </w:r>
          </w:p>
        </w:tc>
        <w:tc>
          <w:tcPr>
            <w:tcW w:type="dxa" w:w="427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FR-CYC-01 … FR-CYC-08</w:t>
            </w:r>
          </w:p>
        </w:tc>
      </w:tr>
      <w:tr>
        <w:tc>
          <w:tcPr>
            <w:tcW w:type="dxa" w:w="133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BR-211</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Release gates</w:t>
            </w:r>
          </w:p>
        </w:tc>
        <w:tc>
          <w:tcPr>
            <w:tcW w:type="dxa" w:w="427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FR-REL-01 … FR-REL-07</w:t>
            </w:r>
          </w:p>
        </w:tc>
      </w:tr>
      <w:tr>
        <w:tc>
          <w:tcPr>
            <w:tcW w:type="dxa" w:w="133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BR-212</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Defect creation from failure</w:t>
            </w:r>
          </w:p>
        </w:tc>
        <w:tc>
          <w:tcPr>
            <w:tcW w:type="dxa" w:w="427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FR-DEF-01 … FR-DEF-04</w:t>
            </w:r>
          </w:p>
        </w:tc>
      </w:tr>
      <w:tr>
        <w:tc>
          <w:tcPr>
            <w:tcW w:type="dxa" w:w="133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BR-213</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Bi-directional issue-tracker sync</w:t>
            </w:r>
          </w:p>
        </w:tc>
        <w:tc>
          <w:tcPr>
            <w:tcW w:type="dxa" w:w="427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FR-DEF-05 … FR-DEF-09, FR-INT-01 … FR-INT-05</w:t>
            </w:r>
          </w:p>
        </w:tc>
      </w:tr>
      <w:tr>
        <w:tc>
          <w:tcPr>
            <w:tcW w:type="dxa" w:w="133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BR-214</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Test data management and masking</w:t>
            </w:r>
          </w:p>
        </w:tc>
        <w:tc>
          <w:tcPr>
            <w:tcW w:type="dxa" w:w="427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FR-DAT-01 … FR-DAT-08</w:t>
            </w:r>
          </w:p>
        </w:tc>
      </w:tr>
      <w:tr>
        <w:tc>
          <w:tcPr>
            <w:tcW w:type="dxa" w:w="133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BR-215</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Service virtualisation</w:t>
            </w:r>
          </w:p>
        </w:tc>
        <w:tc>
          <w:tcPr>
            <w:tcW w:type="dxa" w:w="427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FR-SVC-01 … FR-SVC-05</w:t>
            </w:r>
          </w:p>
        </w:tc>
      </w:tr>
      <w:tr>
        <w:tc>
          <w:tcPr>
            <w:tcW w:type="dxa" w:w="133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BR-216</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Environment management</w:t>
            </w:r>
          </w:p>
        </w:tc>
        <w:tc>
          <w:tcPr>
            <w:tcW w:type="dxa" w:w="427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FR-ENV-01 … FR-ENV-05</w:t>
            </w:r>
          </w:p>
        </w:tc>
      </w:tr>
      <w:tr>
        <w:tc>
          <w:tcPr>
            <w:tcW w:type="dxa" w:w="133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BR-217</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Compliance evidence packs</w:t>
            </w:r>
          </w:p>
        </w:tc>
        <w:tc>
          <w:tcPr>
            <w:tcW w:type="dxa" w:w="427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FR-EVD-01 … FR-EVD-06</w:t>
            </w:r>
          </w:p>
        </w:tc>
      </w:tr>
      <w:tr>
        <w:tc>
          <w:tcPr>
            <w:tcW w:type="dxa" w:w="133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BR-218</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Approval workflows</w:t>
            </w:r>
          </w:p>
        </w:tc>
        <w:tc>
          <w:tcPr>
            <w:tcW w:type="dxa" w:w="427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FR-CYC-07, FR-REL-05, FR-GOV-08</w:t>
            </w:r>
          </w:p>
        </w:tc>
      </w:tr>
      <w:tr>
        <w:tc>
          <w:tcPr>
            <w:tcW w:type="dxa" w:w="133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BR-220</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QA Copilot</w:t>
            </w:r>
          </w:p>
        </w:tc>
        <w:tc>
          <w:tcPr>
            <w:tcW w:type="dxa" w:w="427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FR-CPL-01 … FR-CPL-09</w:t>
            </w:r>
          </w:p>
        </w:tc>
      </w:tr>
      <w:tr>
        <w:tc>
          <w:tcPr>
            <w:tcW w:type="dxa" w:w="133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BR-221</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Copilot grounding and citation</w:t>
            </w:r>
          </w:p>
        </w:tc>
        <w:tc>
          <w:tcPr>
            <w:tcW w:type="dxa" w:w="427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FR-CPL-03, FR-CPL-04, NFR-REL-210</w:t>
            </w:r>
          </w:p>
        </w:tc>
      </w:tr>
      <w:tr>
        <w:tc>
          <w:tcPr>
            <w:tcW w:type="dxa" w:w="133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BR-222</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Exploratory agent</w:t>
            </w:r>
          </w:p>
        </w:tc>
        <w:tc>
          <w:tcPr>
            <w:tcW w:type="dxa" w:w="427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FR-AGT-01 … FR-AGT-06</w:t>
            </w:r>
          </w:p>
        </w:tc>
      </w:tr>
      <w:tr>
        <w:tc>
          <w:tcPr>
            <w:tcW w:type="dxa" w:w="133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BR-223</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Maintenance agent</w:t>
            </w:r>
          </w:p>
        </w:tc>
        <w:tc>
          <w:tcPr>
            <w:tcW w:type="dxa" w:w="427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FR-AGT-07 … FR-AGT-10</w:t>
            </w:r>
          </w:p>
        </w:tc>
      </w:tr>
      <w:tr>
        <w:tc>
          <w:tcPr>
            <w:tcW w:type="dxa" w:w="133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BR-224</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Root cause analysis</w:t>
            </w:r>
          </w:p>
        </w:tc>
        <w:tc>
          <w:tcPr>
            <w:tcW w:type="dxa" w:w="427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FR-RCA-01 … FR-RCA-06</w:t>
            </w:r>
          </w:p>
        </w:tc>
      </w:tr>
      <w:tr>
        <w:tc>
          <w:tcPr>
            <w:tcW w:type="dxa" w:w="133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BR-225</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Flakiness detection and quarantine</w:t>
            </w:r>
          </w:p>
        </w:tc>
        <w:tc>
          <w:tcPr>
            <w:tcW w:type="dxa" w:w="427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FR-FLK-01 … FR-FLK-06</w:t>
            </w:r>
          </w:p>
        </w:tc>
      </w:tr>
      <w:tr>
        <w:tc>
          <w:tcPr>
            <w:tcW w:type="dxa" w:w="133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BR-226</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Risk-based test selection</w:t>
            </w:r>
          </w:p>
        </w:tc>
        <w:tc>
          <w:tcPr>
            <w:tcW w:type="dxa" w:w="427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FR-RSK-01 … FR-RSK-08</w:t>
            </w:r>
          </w:p>
        </w:tc>
      </w:tr>
      <w:tr>
        <w:tc>
          <w:tcPr>
            <w:tcW w:type="dxa" w:w="133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BR-227</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Predictive quality signals</w:t>
            </w:r>
          </w:p>
        </w:tc>
        <w:tc>
          <w:tcPr>
            <w:tcW w:type="dxa" w:w="427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FR-RSK-09, FR-ANL-08</w:t>
            </w:r>
          </w:p>
        </w:tc>
      </w:tr>
      <w:tr>
        <w:tc>
          <w:tcPr>
            <w:tcW w:type="dxa" w:w="133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BR-228</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Agent accountability and reversibility</w:t>
            </w:r>
          </w:p>
        </w:tc>
        <w:tc>
          <w:tcPr>
            <w:tcW w:type="dxa" w:w="427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FR-AGT-11, FR-AGT-12, NFR-SEC-215</w:t>
            </w:r>
          </w:p>
        </w:tc>
      </w:tr>
      <w:tr>
        <w:tc>
          <w:tcPr>
            <w:tcW w:type="dxa" w:w="133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BR-230</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Portfolio dashboards</w:t>
            </w:r>
          </w:p>
        </w:tc>
        <w:tc>
          <w:tcPr>
            <w:tcW w:type="dxa" w:w="427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FR-ANL-01 … FR-ANL-05</w:t>
            </w:r>
          </w:p>
        </w:tc>
      </w:tr>
      <w:tr>
        <w:tc>
          <w:tcPr>
            <w:tcW w:type="dxa" w:w="133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BR-231</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Executive scorecard</w:t>
            </w:r>
          </w:p>
        </w:tc>
        <w:tc>
          <w:tcPr>
            <w:tcW w:type="dxa" w:w="427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FR-ANL-06, FR-ANL-07, FR-ANL-09</w:t>
            </w:r>
          </w:p>
        </w:tc>
      </w:tr>
      <w:tr>
        <w:tc>
          <w:tcPr>
            <w:tcW w:type="dxa" w:w="133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BR-232</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SSO and SCIM</w:t>
            </w:r>
          </w:p>
        </w:tc>
        <w:tc>
          <w:tcPr>
            <w:tcW w:type="dxa" w:w="427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FR-IAM-01 … FR-IAM-06</w:t>
            </w:r>
          </w:p>
        </w:tc>
      </w:tr>
      <w:tr>
        <w:tc>
          <w:tcPr>
            <w:tcW w:type="dxa" w:w="133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BR-233</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Custom roles</w:t>
            </w:r>
          </w:p>
        </w:tc>
        <w:tc>
          <w:tcPr>
            <w:tcW w:type="dxa" w:w="427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FR-IAM-07 … FR-IAM-10</w:t>
            </w:r>
          </w:p>
        </w:tc>
      </w:tr>
      <w:tr>
        <w:tc>
          <w:tcPr>
            <w:tcW w:type="dxa" w:w="133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BR-234</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Multi-entity tenancy</w:t>
            </w:r>
          </w:p>
        </w:tc>
        <w:tc>
          <w:tcPr>
            <w:tcW w:type="dxa" w:w="427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FR-GOV-01 … FR-GOV-05</w:t>
            </w:r>
          </w:p>
        </w:tc>
      </w:tr>
      <w:tr>
        <w:tc>
          <w:tcPr>
            <w:tcW w:type="dxa" w:w="133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BR-235</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Audit, retention, legal hold</w:t>
            </w:r>
          </w:p>
        </w:tc>
        <w:tc>
          <w:tcPr>
            <w:tcW w:type="dxa" w:w="427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FR-GOV-09 … FR-GOV-13</w:t>
            </w:r>
          </w:p>
        </w:tc>
      </w:tr>
      <w:tr>
        <w:tc>
          <w:tcPr>
            <w:tcW w:type="dxa" w:w="133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BR-236</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Project templates</w:t>
            </w:r>
          </w:p>
        </w:tc>
        <w:tc>
          <w:tcPr>
            <w:tcW w:type="dxa" w:w="427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FR-GOV-06, FR-GOV-07</w:t>
            </w:r>
          </w:p>
        </w:tc>
      </w:tr>
      <w:tr>
        <w:tc>
          <w:tcPr>
            <w:tcW w:type="dxa" w:w="133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BR-237</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Arabic parity across the platform</w:t>
            </w:r>
          </w:p>
        </w:tc>
        <w:tc>
          <w:tcPr>
            <w:tcW w:type="dxa" w:w="427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FR-I18N-01 … FR-I18N-07</w:t>
            </w:r>
          </w:p>
        </w:tc>
      </w:tr>
      <w:tr>
        <w:tc>
          <w:tcPr>
            <w:tcW w:type="dxa" w:w="133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BR-240</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Public API</w:t>
            </w:r>
          </w:p>
        </w:tc>
        <w:tc>
          <w:tcPr>
            <w:tcW w:type="dxa" w:w="427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FR-API-01 … FR-API-07</w:t>
            </w:r>
          </w:p>
        </w:tc>
      </w:tr>
      <w:tr>
        <w:tc>
          <w:tcPr>
            <w:tcW w:type="dxa" w:w="133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BR-241</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SDKs and CLI</w:t>
            </w:r>
          </w:p>
        </w:tc>
        <w:tc>
          <w:tcPr>
            <w:tcW w:type="dxa" w:w="427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FR-API-08, FR-API-09</w:t>
            </w:r>
          </w:p>
        </w:tc>
      </w:tr>
      <w:tr>
        <w:tc>
          <w:tcPr>
            <w:tcW w:type="dxa" w:w="133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BR-242</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CI/CD integrations and quality gate</w:t>
            </w:r>
          </w:p>
        </w:tc>
        <w:tc>
          <w:tcPr>
            <w:tcW w:type="dxa" w:w="427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FR-CIC-01 … FR-CIC-08</w:t>
            </w:r>
          </w:p>
        </w:tc>
      </w:tr>
      <w:tr>
        <w:tc>
          <w:tcPr>
            <w:tcW w:type="dxa" w:w="133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BR-243</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Webhooks and event stream</w:t>
            </w:r>
          </w:p>
        </w:tc>
        <w:tc>
          <w:tcPr>
            <w:tcW w:type="dxa" w:w="427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FR-API-10 … FR-API-12</w:t>
            </w:r>
          </w:p>
        </w:tc>
      </w:tr>
      <w:tr>
        <w:tc>
          <w:tcPr>
            <w:tcW w:type="dxa" w:w="133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BR-244</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Extension marketplace</w:t>
            </w:r>
          </w:p>
        </w:tc>
        <w:tc>
          <w:tcPr>
            <w:tcW w:type="dxa" w:w="427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FR-EXT-01 … FR-EXT-06</w:t>
            </w:r>
          </w:p>
        </w:tc>
      </w:tr>
      <w:tr>
        <w:tc>
          <w:tcPr>
            <w:tcW w:type="dxa" w:w="133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BR-245</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On-premise and air-gapped distribution</w:t>
            </w:r>
          </w:p>
        </w:tc>
        <w:tc>
          <w:tcPr>
            <w:tcW w:type="dxa" w:w="427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FR-DEP-01 … FR-DEP-06, NFR-POR-210 … 214</w:t>
            </w:r>
          </w:p>
        </w:tc>
      </w:tr>
      <w:tr>
        <w:tc>
          <w:tcPr>
            <w:tcW w:type="dxa" w:w="133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BR-246</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Multi-region residency</w:t>
            </w:r>
          </w:p>
        </w:tc>
        <w:tc>
          <w:tcPr>
            <w:tcW w:type="dxa" w:w="427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FR-DEP-07, FR-DEP-08, NFR-COM-210</w:t>
            </w:r>
          </w:p>
        </w:tc>
      </w:tr>
      <w:tr>
        <w:tc>
          <w:tcPr>
            <w:tcW w:type="dxa" w:w="133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BR-247</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Migration tooling</w:t>
            </w:r>
          </w:p>
        </w:tc>
        <w:tc>
          <w:tcPr>
            <w:tcW w:type="dxa" w:w="427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FR-MIG-01 … FR-MIG-05</w:t>
            </w:r>
          </w:p>
        </w:tc>
      </w:tr>
      <w:tr>
        <w:tc>
          <w:tcPr>
            <w:tcW w:type="dxa" w:w="133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BR-248</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v1 backward compatibility</w:t>
            </w:r>
          </w:p>
        </w:tc>
        <w:tc>
          <w:tcPr>
            <w:tcW w:type="dxa" w:w="427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FR-MIG-06 … FR-MIG-08, NFR-MNT-210</w:t>
            </w:r>
          </w:p>
        </w:tc>
      </w:tr>
    </w:tbl>
    <w:p>
      <w:pPr>
        <w:pStyle w:val="Heading1"/>
        <w:pageBreakBefore/>
        <w:spacing w:after="160" w:before="360"/>
      </w:pPr>
      <w:r>
        <w:rPr>
          <w:rFonts w:ascii="Calibri" w:cs="Calibri" w:eastAsia="Calibri" w:hAnsi="Calibri"/>
          <w:b/>
          <w:bCs/>
          <w:color w:val="1F4E79"/>
          <w:sz w:val="30"/>
          <w:szCs w:val="30"/>
        </w:rPr>
        <w:t xml:space="preserve">19. Glossary — Additions for Version 2</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407"/>
        <w:gridCol w:w="6953"/>
      </w:tblGrid>
      <w:tr>
        <w:trPr>
          <w:tblHeader/>
        </w:trPr>
        <w:tc>
          <w:tcPr>
            <w:tcW w:type="dxa" w:w="240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Term</w:t>
            </w:r>
          </w:p>
        </w:tc>
        <w:tc>
          <w:tcPr>
            <w:tcW w:type="dxa" w:w="6953"/>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Definition</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Air-gapped deployment</w:t>
            </w:r>
          </w:p>
        </w:tc>
        <w:tc>
          <w:tcPr>
            <w:tcW w:type="dxa" w:w="695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An installation with no network path to the internet, including for model inference. Requires a locally hosted model.</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Change impact analysis</w:t>
            </w:r>
          </w:p>
        </w:tc>
        <w:tc>
          <w:tcPr>
            <w:tcW w:type="dxa" w:w="695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Determining which requirements, tests and areas are affected by a given source code change.</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Escape rate</w:t>
            </w:r>
          </w:p>
        </w:tc>
        <w:tc>
          <w:tcPr>
            <w:tcW w:type="dxa" w:w="695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The proportion of defects found in production rather than during testing. The headline quality metric for executives.</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Evidence pack</w:t>
            </w:r>
          </w:p>
        </w:tc>
        <w:tc>
          <w:tcPr>
            <w:tcW w:type="dxa" w:w="695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 signed, exportable bundle proving what was verified for a release: requirements, coverage, results, approvals, defects, audit trail.</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Flaky test</w:t>
            </w:r>
          </w:p>
        </w:tc>
        <w:tc>
          <w:tcPr>
            <w:tcW w:type="dxa" w:w="695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 test that produces different outcomes on unchanged code and environment. Excluded from gating decisions until remediated.</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Locator</w:t>
            </w:r>
          </w:p>
        </w:tc>
        <w:tc>
          <w:tcPr>
            <w:tcW w:type="dxa" w:w="695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The expression identifying a user-interface element for interaction. The fragile part of any UI test.</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Quality gate</w:t>
            </w:r>
          </w:p>
        </w:tc>
        <w:tc>
          <w:tcPr>
            <w:tcW w:type="dxa" w:w="695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An automated decision point in a pipeline or release that passes or blocks based on configured quality criteria.</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Quality Operating System</w:t>
            </w:r>
          </w:p>
        </w:tc>
        <w:tc>
          <w:tcPr>
            <w:tcW w:type="dxa" w:w="695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The v2 product framing: one platform holding requirements, tests, runs, defects, releases and risk as linked objects.</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Risk-based selection</w:t>
            </w:r>
          </w:p>
        </w:tc>
        <w:tc>
          <w:tcPr>
            <w:tcW w:type="dxa" w:w="695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Choosing a minimal subset of tests to execute based on the estimated risk of the change under test.</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Self-healing</w:t>
            </w:r>
          </w:p>
        </w:tc>
        <w:tc>
          <w:tcPr>
            <w:tcW w:type="dxa" w:w="695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Automatic repair of a broken locator using alternative signals, subject to a confidence threshold and human review.</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Service virtualisation</w:t>
            </w:r>
          </w:p>
        </w:tc>
        <w:tc>
          <w:tcPr>
            <w:tcW w:type="dxa" w:w="695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Simulating a dependency’s behaviour so testing can proceed without the real service.</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Sovereign deployment</w:t>
            </w:r>
          </w:p>
        </w:tc>
        <w:tc>
          <w:tcPr>
            <w:tcW w:type="dxa" w:w="695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 deployment fully within customer or in-country infrastructure, including the intelligence layer.</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Test cycle</w:t>
            </w:r>
          </w:p>
        </w:tc>
        <w:tc>
          <w:tcPr>
            <w:tcW w:type="dxa" w:w="695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 planned, scoped, scheduled execution of a selected set of tests, with assignment and progress tracking.</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Visual regression</w:t>
            </w:r>
          </w:p>
        </w:tc>
        <w:tc>
          <w:tcPr>
            <w:tcW w:type="dxa" w:w="695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Detection of unintended change in rendered appearance between two runs.</w:t>
            </w:r>
          </w:p>
        </w:tc>
      </w:tr>
    </w:tbl>
    <w:p>
      <w:pPr>
        <w:pStyle w:val="Heading1"/>
        <w:pageBreakBefore/>
        <w:spacing w:after="160" w:before="360"/>
      </w:pPr>
      <w:r>
        <w:rPr>
          <w:rFonts w:ascii="Calibri" w:cs="Calibri" w:eastAsia="Calibri" w:hAnsi="Calibri"/>
          <w:b/>
          <w:bCs/>
          <w:color w:val="1F4E79"/>
          <w:sz w:val="30"/>
          <w:szCs w:val="30"/>
        </w:rPr>
        <w:t xml:space="preserve">20. Conclusion</w:t>
      </w:r>
    </w:p>
    <w:p>
      <w:pPr>
        <w:spacing w:after="120" w:line="276"/>
      </w:pPr>
      <w:r>
        <w:rPr>
          <w:rFonts w:ascii="Calibri" w:cs="Calibri" w:eastAsia="Calibri" w:hAnsi="Calibri"/>
          <w:b w:val="false"/>
          <w:bCs w:val="false"/>
          <w:i w:val="false"/>
          <w:iCs w:val="false"/>
          <w:color w:val="262626"/>
          <w:sz w:val="21"/>
          <w:szCs w:val="21"/>
        </w:rPr>
        <w:t xml:space="preserve">Version 1 answered a narrow question well: can a requirements document become an executed, traceable API test suite? Version 2 answers a much larger one: can a delivery organisation run its entire quality function on one requirement-native platform, in its own language, inside its own infrastructure?</w:t>
      </w:r>
    </w:p>
    <w:p>
      <w:pPr>
        <w:spacing w:after="120" w:line="276"/>
      </w:pPr>
      <w:r>
        <w:rPr>
          <w:rFonts w:ascii="Calibri" w:cs="Calibri" w:eastAsia="Calibri" w:hAnsi="Calibri"/>
          <w:b w:val="false"/>
          <w:bCs w:val="false"/>
          <w:i w:val="false"/>
          <w:iCs w:val="false"/>
          <w:color w:val="262626"/>
          <w:sz w:val="21"/>
          <w:szCs w:val="21"/>
        </w:rPr>
        <w:t xml:space="preserve">The commercial logic is straightforward. A larger surface moves the buyer upward, raises contract value, and — through pipeline gates, defect flow and release governance — creates switching costs that a generation tool never could. The strategic logic is equally clear: the properties that make TADQEEQ hard to copy, Arabic-native operation and sovereign deployment, become more valuable as the surface grows, because a competitor must now replicate them across a platform rather than a feature.</w:t>
      </w:r>
    </w:p>
    <w:p>
      <w:pPr>
        <w:spacing w:after="120" w:line="276"/>
      </w:pPr>
      <w:r>
        <w:rPr>
          <w:rFonts w:ascii="Calibri" w:cs="Calibri" w:eastAsia="Calibri" w:hAnsi="Calibri"/>
          <w:b/>
          <w:bCs/>
          <w:i w:val="false"/>
          <w:iCs w:val="false"/>
          <w:color w:val="262626"/>
          <w:sz w:val="21"/>
          <w:szCs w:val="21"/>
        </w:rPr>
        <w:t xml:space="preserve">The failure mode is not competition; it is dilution. Twenty-seven modules delivered at seventy percent quality is a worse product than six delivered at ninety-five. The release trains in section 15 exist to make that failure visible early, and the gates in section 15.2 exist so that a train that has not earned its successor does not get one. Hold those gates, and v2 is a platform. Skip them, and it is a feature list.</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808080"/>
        <w:sz w:val="16"/>
        <w:szCs w:val="16"/>
      </w:rPr>
      <w:t xml:space="preserve">Confidential</w:t>
    </w:r>
    <w:r>
      <w:rPr>
        <w:rFonts w:ascii="Calibri" w:cs="Calibri" w:eastAsia="Calibri" w:hAnsi="Calibri"/>
        <w:color w:val="808080"/>
        <w:sz w:val="16"/>
        <w:szCs w:val="16"/>
      </w:rPr>
      <w:t xml:space="preserve">	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6"/>
      </w:pBdr>
      <w:tabs>
        <w:tab w:val="right" w:pos="9360"/>
      </w:tabs>
      <w:spacing w:after="40"/>
    </w:pPr>
    <w:r>
      <w:rPr>
        <w:rFonts w:ascii="Calibri" w:cs="Calibri" w:eastAsia="Calibri" w:hAnsi="Calibri"/>
        <w:b/>
        <w:bCs/>
        <w:color w:val="1F4E79"/>
        <w:sz w:val="17"/>
        <w:szCs w:val="17"/>
      </w:rPr>
      <w:t xml:space="preserve">TADQEEQ</w:t>
    </w:r>
    <w:r>
      <w:rPr>
        <w:rFonts w:ascii="Calibri" w:cs="Calibri" w:eastAsia="Calibri" w:hAnsi="Calibri"/>
        <w:color w:val="808080"/>
        <w:sz w:val="17"/>
        <w:szCs w:val="17"/>
      </w:rPr>
      <w:t xml:space="preserve">	BRD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rPr>
        <w:color w:val="2E75B6"/>
        <w:sz w:val="16"/>
        <w:szCs w:val="16"/>
      </w:rPr>
    </w:lvl>
    <w:lvl w:ilvl="1" w15:tentative="1">
      <w:start w:val="1"/>
      <w:numFmt w:val="bullet"/>
      <w:lvlText w:val="○"/>
      <w:lvlJc w:val="left"/>
      <w:pPr>
        <w:ind w:left="760" w:hanging="200"/>
      </w:pPr>
      <w:rPr>
        <w:color w:val="2E75B6"/>
        <w:sz w:val="16"/>
        <w:szCs w:val="16"/>
      </w:rPr>
    </w:lvl>
    <w:lvl w:ilvl="2" w15:tentative="1">
      <w:start w:val="1"/>
      <w:numFmt w:val="bullet"/>
      <w:lvlText w:val="▪"/>
      <w:lvlJc w:val="left"/>
      <w:pPr>
        <w:ind w:left="1120" w:hanging="200"/>
      </w:pPr>
      <w:rPr>
        <w:color w:val="2E75B6"/>
        <w:sz w:val="16"/>
        <w:szCs w:val="16"/>
      </w:rPr>
    </w:lvl>
  </w:abstractNum>
  <w:abstractNum w:abstractNumId="3" w15:restartNumberingAfterBreak="0">
    <w:multiLevelType w:val="hybridMultilevel"/>
    <w:lvl w:ilvl="0" w15:tentative="1">
      <w:start w:val="1"/>
      <w:numFmt w:val="decimal"/>
      <w:lvlText w:val="%1."/>
      <w:lvlJc w:val="left"/>
      <w:pPr>
        <w:ind w:left="400" w:hanging="220"/>
      </w:pPr>
    </w:lvl>
    <w:lvl w:ilvl="1" w15:tentative="1">
      <w:start w:val="1"/>
      <w:numFmt w:val="lowerLetter"/>
      <w:lvlText w:val="%2."/>
      <w:lvlJc w:val="left"/>
      <w:pPr>
        <w:ind w:left="7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v2.0 — TADQEEQ</dc:title>
  <dc:creator>TADQEEQ Product Team</dc:creator>
  <dc:description>Business Requirements Document v2.0</dc:description>
  <cp:lastModifiedBy>Un-named</cp:lastModifiedBy>
  <cp:revision>1</cp:revision>
  <dcterms:created xsi:type="dcterms:W3CDTF">2026-07-25T22:59:36.908Z</dcterms:created>
  <dcterms:modified xsi:type="dcterms:W3CDTF">2026-07-25T22:59:36.927Z</dcterms:modified>
</cp:coreProperties>
</file>

<file path=docProps/custom.xml><?xml version="1.0" encoding="utf-8"?>
<Properties xmlns="http://schemas.openxmlformats.org/officeDocument/2006/custom-properties" xmlns:vt="http://schemas.openxmlformats.org/officeDocument/2006/docPropsVTypes"/>
</file>