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Software Requirements Specification (SRS)</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Functional and non-functional requirements — MVP release</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Requirements Specification (SRS)</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 (MVP baseline)</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with Technical Lead</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 pending BRD approval</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Introduction</w:t>
      </w:r>
    </w:p>
    <w:p>
      <w:pPr>
        <w:pStyle w:val="Heading2"/>
        <w:spacing w:after="110" w:before="260"/>
      </w:pPr>
      <w:r>
        <w:rPr>
          <w:rFonts w:ascii="Calibri" w:cs="Calibri" w:eastAsia="Calibri" w:hAnsi="Calibri"/>
          <w:b/>
          <w:bCs/>
          <w:color w:val="2E75B6"/>
          <w:sz w:val="25"/>
          <w:szCs w:val="25"/>
        </w:rPr>
        <w:t xml:space="preserve">1.1 Purpose</w:t>
      </w:r>
    </w:p>
    <w:p>
      <w:pPr>
        <w:spacing w:after="120" w:line="276"/>
      </w:pPr>
      <w:r>
        <w:rPr>
          <w:rFonts w:ascii="Calibri" w:cs="Calibri" w:eastAsia="Calibri" w:hAnsi="Calibri"/>
          <w:b w:val="false"/>
          <w:bCs w:val="false"/>
          <w:i w:val="false"/>
          <w:iCs w:val="false"/>
          <w:color w:val="262626"/>
          <w:sz w:val="21"/>
          <w:szCs w:val="21"/>
        </w:rPr>
        <w:t xml:space="preserve">This Software Requirements Specification defines what the TADQEEQ MVP must do. It is written for the engineering team building the product and for the QA design partners validating it. The structure follows ISO/IEC/IEEE 29148.</w:t>
      </w:r>
    </w:p>
    <w:p>
      <w:pPr>
        <w:spacing w:after="120" w:line="276"/>
      </w:pPr>
      <w:r>
        <w:rPr>
          <w:rFonts w:ascii="Calibri" w:cs="Calibri" w:eastAsia="Calibri" w:hAnsi="Calibri"/>
          <w:b w:val="false"/>
          <w:bCs w:val="false"/>
          <w:i w:val="false"/>
          <w:iCs w:val="false"/>
          <w:color w:val="262626"/>
          <w:sz w:val="21"/>
          <w:szCs w:val="21"/>
        </w:rPr>
        <w:t xml:space="preserve">Every functional requirement in this document traces backwards to a business requirement (BR-xx) in the BRD and forwards to a component in the TRD. A requirement with no business parent is a candidate for deletion, not for implementation.</w:t>
      </w:r>
    </w:p>
    <w:p>
      <w:pPr>
        <w:pStyle w:val="Heading2"/>
        <w:spacing w:after="110" w:before="260"/>
      </w:pPr>
      <w:r>
        <w:rPr>
          <w:rFonts w:ascii="Calibri" w:cs="Calibri" w:eastAsia="Calibri" w:hAnsi="Calibri"/>
          <w:b/>
          <w:bCs/>
          <w:color w:val="2E75B6"/>
          <w:sz w:val="25"/>
          <w:szCs w:val="25"/>
        </w:rPr>
        <w:t xml:space="preserve">1.2 Scope of this release</w:t>
      </w:r>
    </w:p>
    <w:p>
      <w:pPr>
        <w:spacing w:after="120" w:line="276"/>
      </w:pPr>
      <w:r>
        <w:rPr>
          <w:rFonts w:ascii="Calibri" w:cs="Calibri" w:eastAsia="Calibri" w:hAnsi="Calibri"/>
          <w:b w:val="false"/>
          <w:bCs w:val="false"/>
          <w:i w:val="false"/>
          <w:iCs w:val="false"/>
          <w:color w:val="262626"/>
          <w:sz w:val="21"/>
          <w:szCs w:val="21"/>
        </w:rPr>
        <w:t xml:space="preserve">The MVP delivers one complete loop:</w:t>
      </w:r>
    </w:p>
    <w:p>
      <w:pPr>
        <w:spacing w:after="120" w:line="276"/>
        <w:jc w:val="center"/>
      </w:pPr>
      <w:r>
        <w:rPr>
          <w:rFonts w:ascii="Calibri" w:cs="Calibri" w:eastAsia="Calibri" w:hAnsi="Calibri"/>
          <w:b/>
          <w:bCs/>
          <w:i w:val="false"/>
          <w:iCs w:val="false"/>
          <w:color w:val="1F4E79"/>
          <w:sz w:val="21"/>
          <w:szCs w:val="21"/>
        </w:rPr>
        <w:t xml:space="preserve">requirements document → structured requirements → discovered API surface → requirement-linked test cases → human review → execution → traceability matrix and coverage report</w:t>
      </w:r>
    </w:p>
    <w:p>
      <w:pPr>
        <w:spacing w:after="120" w:line="276"/>
      </w:pPr>
      <w:r>
        <w:rPr>
          <w:rFonts w:ascii="Calibri" w:cs="Calibri" w:eastAsia="Calibri" w:hAnsi="Calibri"/>
          <w:b w:val="false"/>
          <w:bCs w:val="false"/>
          <w:i w:val="false"/>
          <w:iCs w:val="false"/>
          <w:color w:val="262626"/>
          <w:sz w:val="21"/>
          <w:szCs w:val="21"/>
        </w:rPr>
        <w:t xml:space="preserve">Restricted to API testing against an OpenAPI or Swagger specification. UI testing, traffic-based discovery, self-healing, CI/CD and Jira integration are out of scope for this release (BRD section 8.2).</w:t>
      </w:r>
    </w:p>
    <w:p>
      <w:pPr>
        <w:pStyle w:val="Heading2"/>
        <w:spacing w:after="110" w:before="260"/>
      </w:pPr>
      <w:r>
        <w:rPr>
          <w:rFonts w:ascii="Calibri" w:cs="Calibri" w:eastAsia="Calibri" w:hAnsi="Calibri"/>
          <w:b/>
          <w:bCs/>
          <w:color w:val="2E75B6"/>
          <w:sz w:val="25"/>
          <w:szCs w:val="25"/>
        </w:rPr>
        <w:t xml:space="preserve">1.3 Definitions and acronyms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7221"/>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Term</w:t>
            </w:r>
          </w:p>
        </w:tc>
        <w:tc>
          <w:tcPr>
            <w:tcW w:type="dxa" w:w="722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Meaning in this document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Project</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workspace containing one system under test, its requirements, its discovered API surface, its test cases and its runs.</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Requirement</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structured record extracted from a source document, holding an identifier, description, acceptance criteria, type and priority.</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Endpoint inventory</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structured set of operations discovered for the system under test: method, path, parameters, request schema, response schemas, authentication.</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case</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generated or edited specification of one test: preconditions, ordered steps, expected results, and links to one or more requirements.</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step</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single API call within a test case, with its request definition and assertions.</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Assertion</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checkable condition on a response: status code, schema conformance, field value, or response time.</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Run</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execution of a selected set of approved test cases against one environment, producing a result per test case.</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Coverage gap</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requirement with no approved test case linked to it.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Stale test case</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approved test case whose linked requirement has changed since approval.</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SUT</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under test — the customer application being tested.</w:t>
            </w:r>
          </w:p>
        </w:tc>
      </w:tr>
    </w:tbl>
    <w:p>
      <w:pPr>
        <w:pStyle w:val="Heading2"/>
        <w:spacing w:after="110" w:before="260"/>
      </w:pPr>
      <w:r>
        <w:rPr>
          <w:rFonts w:ascii="Calibri" w:cs="Calibri" w:eastAsia="Calibri" w:hAnsi="Calibri"/>
          <w:b/>
          <w:bCs/>
          <w:color w:val="2E75B6"/>
          <w:sz w:val="25"/>
          <w:szCs w:val="25"/>
        </w:rPr>
        <w:t xml:space="preserve">1.4 Requirement identification and conventions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2674"/>
        <w:gridCol w:w="4547"/>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Prefix</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Area</w:t>
            </w:r>
          </w:p>
        </w:tc>
        <w:tc>
          <w:tcPr>
            <w:tcW w:type="dxa" w:w="45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Description</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FR-USR</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Users and access</w:t>
            </w:r>
          </w:p>
        </w:tc>
        <w:tc>
          <w:tcPr>
            <w:tcW w:type="dxa" w:w="45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Authentication, organisations, roles, audit.</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FR-PRJ</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w:t>
            </w:r>
          </w:p>
        </w:tc>
        <w:tc>
          <w:tcPr>
            <w:tcW w:type="dxa" w:w="45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 lifecycle and environment configuration.</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FR-REQ</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ingestion</w:t>
            </w:r>
          </w:p>
        </w:tc>
        <w:tc>
          <w:tcPr>
            <w:tcW w:type="dxa" w:w="45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Document upload, parsing, extraction, editing, versioning.</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FR-DSC</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Discovery</w:t>
            </w:r>
          </w:p>
        </w:tc>
        <w:tc>
          <w:tcPr>
            <w:tcW w:type="dxa" w:w="45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surface import and endpoint inventory.</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FR-GEN</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generation</w:t>
            </w:r>
          </w:p>
        </w:tc>
        <w:tc>
          <w:tcPr>
            <w:tcW w:type="dxa" w:w="45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 design techniques, grounding constraints.</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FR-REV</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w:t>
            </w:r>
          </w:p>
        </w:tc>
        <w:tc>
          <w:tcPr>
            <w:tcW w:type="dxa" w:w="45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Human review, edit, approve, reject.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FR-EXE</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w:t>
            </w:r>
          </w:p>
        </w:tc>
        <w:tc>
          <w:tcPr>
            <w:tcW w:type="dxa" w:w="45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orchestration, authentication, assertions, data handling.</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FR-TRC</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w:t>
            </w:r>
          </w:p>
        </w:tc>
        <w:tc>
          <w:tcPr>
            <w:tcW w:type="dxa" w:w="45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Matrix, coverage gaps, staleness.</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FR-RPT</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Reporting</w:t>
            </w:r>
          </w:p>
        </w:tc>
        <w:tc>
          <w:tcPr>
            <w:tcW w:type="dxa" w:w="45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reports, dashboards, exports.</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NFR-xxx</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Non-functional</w:t>
            </w:r>
          </w:p>
        </w:tc>
        <w:tc>
          <w:tcPr>
            <w:tcW w:type="dxa" w:w="45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PERF, SEC, REL, USE, MNT, POR, SCA, COM.</w:t>
            </w:r>
          </w:p>
        </w:tc>
      </w:tr>
    </w:tbl>
    <w:p>
      <w:pPr>
        <w:spacing w:after="120" w:line="276"/>
      </w:pPr>
      <w:r>
        <w:rPr>
          <w:rFonts w:ascii="Calibri" w:cs="Calibri" w:eastAsia="Calibri" w:hAnsi="Calibri"/>
          <w:b w:val="false"/>
          <w:bCs w:val="false"/>
          <w:i w:val="false"/>
          <w:iCs w:val="false"/>
          <w:color w:val="262626"/>
          <w:sz w:val="21"/>
          <w:szCs w:val="21"/>
        </w:rPr>
        <w:t xml:space="preserve">Requirement verbs: "shall" denotes a mandatory requirement; "should" denotes a desirable one that may be deferred; "may" denotes an option. Priority is MoSCoW, consistent with the BRD.</w:t>
      </w:r>
    </w:p>
    <w:p>
      <w:pPr>
        <w:pStyle w:val="Heading2"/>
        <w:spacing w:after="110" w:before="260"/>
      </w:pPr>
      <w:r>
        <w:rPr>
          <w:rFonts w:ascii="Calibri" w:cs="Calibri" w:eastAsia="Calibri" w:hAnsi="Calibri"/>
          <w:b/>
          <w:bCs/>
          <w:color w:val="2E75B6"/>
          <w:sz w:val="25"/>
          <w:szCs w:val="25"/>
        </w:rPr>
        <w:t xml:space="preserve">1.5 References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TADQEEQ Business Requirements Document v1.0 — business requirements BR-01 to BR-17.</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TADQEEQ Technical Requirements Document v1.0 — architecture and component design.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ISO/IEC/IEEE 29148:2018 — Requirements engineering.</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ISTQB Certified Tester Foundation Level syllabus — test design techniques.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OpenAPI Specification 3.1 and Swagger 2.0.</w:t>
      </w:r>
    </w:p>
    <w:p>
      <w:pPr>
        <w:pStyle w:val="Heading1"/>
        <w:pageBreakBefore/>
        <w:spacing w:after="160" w:before="360"/>
      </w:pPr>
      <w:r>
        <w:rPr>
          <w:rFonts w:ascii="Calibri" w:cs="Calibri" w:eastAsia="Calibri" w:hAnsi="Calibri"/>
          <w:b/>
          <w:bCs/>
          <w:color w:val="1F4E79"/>
          <w:sz w:val="30"/>
          <w:szCs w:val="30"/>
        </w:rPr>
        <w:t xml:space="preserve">2. Overall Description</w:t>
      </w:r>
    </w:p>
    <w:p>
      <w:pPr>
        <w:pStyle w:val="Heading2"/>
        <w:spacing w:after="110" w:before="260"/>
      </w:pPr>
      <w:r>
        <w:rPr>
          <w:rFonts w:ascii="Calibri" w:cs="Calibri" w:eastAsia="Calibri" w:hAnsi="Calibri"/>
          <w:b/>
          <w:bCs/>
          <w:color w:val="2E75B6"/>
          <w:sz w:val="25"/>
          <w:szCs w:val="25"/>
        </w:rPr>
        <w:t xml:space="preserve">2.1 Product perspective</w:t>
      </w:r>
    </w:p>
    <w:p>
      <w:pPr>
        <w:spacing w:after="120" w:line="276"/>
      </w:pPr>
      <w:r>
        <w:rPr>
          <w:rFonts w:ascii="Calibri" w:cs="Calibri" w:eastAsia="Calibri" w:hAnsi="Calibri"/>
          <w:b w:val="false"/>
          <w:bCs w:val="false"/>
          <w:i w:val="false"/>
          <w:iCs w:val="false"/>
          <w:color w:val="262626"/>
          <w:sz w:val="21"/>
          <w:szCs w:val="21"/>
        </w:rPr>
        <w:t xml:space="preserve">TADQEEQ is a new, self-contained web application. It does not replace an existing customer system in the MVP; it sits alongside the customer’s test management and issue tracking tools. It interacts with two external parties: the customer’s system under test (over HTTP), and a large language model provider (behind an abstraction layer that permits substitution, including a locally hosted model).</w:t>
      </w:r>
    </w:p>
    <w:p>
      <w:pPr>
        <w:pStyle w:val="Heading2"/>
        <w:spacing w:after="110" w:before="260"/>
      </w:pPr>
      <w:r>
        <w:rPr>
          <w:rFonts w:ascii="Calibri" w:cs="Calibri" w:eastAsia="Calibri" w:hAnsi="Calibri"/>
          <w:b/>
          <w:bCs/>
          <w:color w:val="2E75B6"/>
          <w:sz w:val="25"/>
          <w:szCs w:val="25"/>
        </w:rPr>
        <w:t xml:space="preserve">2.2 Product functions — summary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Function</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Summary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ingestion</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Upload a PDF, DOCX or Markdown document; the system extracts a structured, individually identified list of requirements with acceptance criteria, in Arabic or English, and presents them for correction.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discovery</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Import an OpenAPI 3.x or Swagger 2.0 document by file or URL and build a normalised endpoint inventory.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generation</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 API test cases grounded strictly in the endpoint inventory, each linked to one or more requirements, applying equivalence partitioning, boundary value analysis and decision tables.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Present generated cases in a review queue for accept, edit or reject, recording who approved what and when.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approved cases against a configured environment, handling authentication and test data, and asserting on status, schema, values and response time.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Maintain a live requirement → test case → latest result matrix, list requirements with no coverage, and flag test cases invalidated by requirement changes.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Reporting</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Per-run reports with full request and response evidence, and export of the matrix and results to Excel and PDF.</w:t>
            </w:r>
          </w:p>
        </w:tc>
      </w:tr>
    </w:tbl>
    <w:p>
      <w:pPr>
        <w:pStyle w:val="Heading2"/>
        <w:spacing w:after="110" w:before="260"/>
      </w:pPr>
      <w:r>
        <w:rPr>
          <w:rFonts w:ascii="Calibri" w:cs="Calibri" w:eastAsia="Calibri" w:hAnsi="Calibri"/>
          <w:b/>
          <w:bCs/>
          <w:color w:val="2E75B6"/>
          <w:sz w:val="25"/>
          <w:szCs w:val="25"/>
        </w:rPr>
        <w:t xml:space="preserve">2.3 User classes and characteristics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2674"/>
        <w:gridCol w:w="4413"/>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User class</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Technical level</w:t>
            </w:r>
          </w:p>
        </w:tc>
        <w:tc>
          <w:tcPr>
            <w:tcW w:type="dxa" w:w="441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Primary needs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Engineer</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programming required</w:t>
            </w:r>
          </w:p>
        </w:tc>
        <w:tc>
          <w:tcPr>
            <w:tcW w:type="dxa" w:w="441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 and edit generated cases; trigger runs; investigate failures. The dominant daily user; the interface is designed for this class.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Lead / Test Manager</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programming required</w:t>
            </w:r>
          </w:p>
        </w:tc>
        <w:tc>
          <w:tcPr>
            <w:tcW w:type="dxa" w:w="441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Coverage overview, approval oversight, exports for clients and auditors, assignment of work.</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Developer / Tech Lead</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High</w:t>
            </w:r>
          </w:p>
        </w:tc>
        <w:tc>
          <w:tcPr>
            <w:tcW w:type="dxa" w:w="441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Fast setup from an OpenAPI file; environment and authentication configuration; failure detail sufficient to debug.</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Organisation Administrator</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Moderate</w:t>
            </w:r>
          </w:p>
        </w:tc>
        <w:tc>
          <w:tcPr>
            <w:tcW w:type="dxa" w:w="441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Manage members, roles and organisation settings.</w:t>
            </w:r>
          </w:p>
        </w:tc>
      </w:tr>
    </w:tbl>
    <w:p>
      <w:pPr>
        <w:pStyle w:val="Heading2"/>
        <w:spacing w:after="110" w:before="260"/>
      </w:pPr>
      <w:r>
        <w:rPr>
          <w:rFonts w:ascii="Calibri" w:cs="Calibri" w:eastAsia="Calibri" w:hAnsi="Calibri"/>
          <w:b/>
          <w:bCs/>
          <w:color w:val="2E75B6"/>
          <w:sz w:val="25"/>
          <w:szCs w:val="25"/>
        </w:rPr>
        <w:t xml:space="preserve">2.4 Operating environment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Web application accessed through current versions of Chrome, Edge, Firefox and Safari on desktop. Mobile browsers are not a target in the MVP.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Server components run in Linux containers, deployable to a managed cloud environment or to customer-controlled infrastructure.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system under test must be reachable over HTTP or HTTPS from the execution environment.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User interface supports English and Arabic, including right-to-left layout (see NFR-USE-03).</w:t>
      </w:r>
    </w:p>
    <w:p>
      <w:pPr>
        <w:pStyle w:val="Heading2"/>
        <w:spacing w:after="110" w:before="260"/>
      </w:pPr>
      <w:r>
        <w:rPr>
          <w:rFonts w:ascii="Calibri" w:cs="Calibri" w:eastAsia="Calibri" w:hAnsi="Calibri"/>
          <w:b/>
          <w:bCs/>
          <w:color w:val="2E75B6"/>
          <w:sz w:val="25"/>
          <w:szCs w:val="25"/>
        </w:rPr>
        <w:t xml:space="preserve">2.5 Design and implementation constraints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37"/>
        <w:gridCol w:w="4279"/>
        <w:gridCol w:w="3744"/>
      </w:tblGrid>
      <w:tr>
        <w:trPr>
          <w:tblHeader/>
        </w:trPr>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427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Constraint</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Origin</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CON-01</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component may depend on a service that cannot be run inside customer-controlled infrastructure.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BR-13 — on-premise deployment must remain possible.</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CON-02</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LLM provider must sit behind an abstraction layer supporting substitution without changes to calling code.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BR-13, R-07, regulatory constraints in BRD section 11.</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CON-03</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primary user must be able to complete all MVP workflows without writing code.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BRD section 13.2.</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CON-04</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generated artefact may reference an identifier absent from the endpoint inventory.</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BR-09 — trust gate.</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CON-05</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 credentials for systems under test must be encrypted at rest and never written to logs or reports.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R-09.</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CON-06</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MVP delivery window of six to eight weeks.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BRD section 13.2.</w:t>
            </w:r>
          </w:p>
        </w:tc>
      </w:tr>
    </w:tbl>
    <w:p>
      <w:pPr>
        <w:pStyle w:val="Heading2"/>
        <w:spacing w:after="110" w:before="260"/>
      </w:pPr>
      <w:r>
        <w:rPr>
          <w:rFonts w:ascii="Calibri" w:cs="Calibri" w:eastAsia="Calibri" w:hAnsi="Calibri"/>
          <w:b/>
          <w:bCs/>
          <w:color w:val="2E75B6"/>
          <w:sz w:val="25"/>
          <w:szCs w:val="25"/>
        </w:rPr>
        <w:t xml:space="preserve">2.6 Assumptions and dependencies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customer can supply an OpenAPI 3.x or Swagger 2.0 specification for the system under test. Without one, the MVP cannot generate tests (BRD Q-01).</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Requirements documents contain identifiable requirement statements; wholly unstructured prose will degrade extraction quality.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 test environment is available that can be exercised with non-production data.</w:t>
      </w:r>
    </w:p>
    <w:p>
      <w:pPr>
        <w:pStyle w:val="Heading1"/>
        <w:pageBreakBefore/>
        <w:spacing w:after="160" w:before="360"/>
      </w:pPr>
      <w:r>
        <w:rPr>
          <w:rFonts w:ascii="Calibri" w:cs="Calibri" w:eastAsia="Calibri" w:hAnsi="Calibri"/>
          <w:b/>
          <w:bCs/>
          <w:color w:val="1F4E79"/>
          <w:sz w:val="30"/>
          <w:szCs w:val="30"/>
        </w:rPr>
        <w:t xml:space="preserve">3. Use Cases</w:t>
      </w:r>
    </w:p>
    <w:p>
      <w:pPr>
        <w:pStyle w:val="Heading2"/>
        <w:spacing w:after="110" w:before="260"/>
      </w:pPr>
      <w:r>
        <w:rPr>
          <w:rFonts w:ascii="Calibri" w:cs="Calibri" w:eastAsia="Calibri" w:hAnsi="Calibri"/>
          <w:b/>
          <w:bCs/>
          <w:color w:val="2E75B6"/>
          <w:sz w:val="25"/>
          <w:szCs w:val="25"/>
        </w:rPr>
        <w:t xml:space="preserve">3.1 Primary use case — from document to coverage report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7221"/>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Field</w:t>
            </w:r>
          </w:p>
        </w:tc>
        <w:tc>
          <w:tcPr>
            <w:tcW w:type="dxa" w:w="722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Content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ID</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UC-01</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Name</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Produce an executed, requirement-linked test suite from a requirements document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Actor</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Engineer (primary), QA Lead (approver)</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Goal</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Convert a requirements document into an approved, executed API test suite with a coverage report.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Preconditions</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is authenticated; a project exists; an OpenAPI specification and a target environment are available.</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Main flow</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 User creates a project and configures the target environment and authentication. 2. User uploads the requirements document. 3. System extracts requirements and presents them for confirmation. 4. User corrects and confirms the requirement list. 5. User imports the OpenAPI specification; system builds the endpoint inventory. 6. User triggers generation. 7. System generates test cases, each linked to requirements and grounded in the inventory. 8. User reviews the queue, editing and approving cases. 9. User triggers a run against the environment. 10. System executes approved cases and records results with evidence. 11. User opens the traceability matrix and reviews coverage gaps. 12. User exports the matrix and run report.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Alternative flows</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A1: Extraction quality is poor — user edits requirements manually (FR-REQ-05). A2: Specification URL is unreachable — user uploads the file instead (FR-DSC-02). A3: A generated case references an unknown identifier — system discards it before presentation (FR-GEN-06). A4: Authentication to the SUT fails — run aborts with a diagnostic, not a mass of false failures (FR-EXE-04).</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Postconditions</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Approved test cases persist; run results are stored; the traceability matrix reflects the latest results.</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Business requirements</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BR-01 to BR-11</w:t>
            </w:r>
          </w:p>
        </w:tc>
      </w:tr>
    </w:tbl>
    <w:p>
      <w:pPr>
        <w:pStyle w:val="Heading2"/>
        <w:spacing w:after="110" w:before="260"/>
      </w:pPr>
      <w:r>
        <w:rPr>
          <w:rFonts w:ascii="Calibri" w:cs="Calibri" w:eastAsia="Calibri" w:hAnsi="Calibri"/>
          <w:b/>
          <w:bCs/>
          <w:color w:val="2E75B6"/>
          <w:sz w:val="25"/>
          <w:szCs w:val="25"/>
        </w:rPr>
        <w:t xml:space="preserve">3.2 Supporting use cases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41"/>
        <w:gridCol w:w="2968"/>
        <w:gridCol w:w="2055"/>
        <w:gridCol w:w="3196"/>
      </w:tblGrid>
      <w:tr>
        <w:trPr>
          <w:tblHeader/>
        </w:trPr>
        <w:tc>
          <w:tcPr>
            <w:tcW w:type="dxa" w:w="11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296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Use case</w:t>
            </w:r>
          </w:p>
        </w:tc>
        <w:tc>
          <w:tcPr>
            <w:tcW w:type="dxa" w:w="205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Actor</w:t>
            </w:r>
          </w:p>
        </w:tc>
        <w:tc>
          <w:tcPr>
            <w:tcW w:type="dxa" w:w="319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Outcome</w:t>
            </w:r>
          </w:p>
        </w:tc>
      </w:tr>
      <w:tr>
        <w:tc>
          <w:tcPr>
            <w:tcW w:type="dxa" w:w="114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UC-02</w:t>
            </w:r>
          </w:p>
        </w:tc>
        <w:tc>
          <w:tcPr>
            <w:tcW w:type="dxa" w:w="296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Re-run a suite after a code change</w:t>
            </w:r>
          </w:p>
        </w:tc>
        <w:tc>
          <w:tcPr>
            <w:tcW w:type="dxa" w:w="20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Engineer</w:t>
            </w:r>
          </w:p>
        </w:tc>
        <w:tc>
          <w:tcPr>
            <w:tcW w:type="dxa" w:w="31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 run recorded; matrix updated; regressions visible against the previous run.</w:t>
            </w:r>
          </w:p>
        </w:tc>
      </w:tr>
      <w:tr>
        <w:tc>
          <w:tcPr>
            <w:tcW w:type="dxa" w:w="11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UC-03</w:t>
            </w:r>
          </w:p>
        </w:tc>
        <w:tc>
          <w:tcPr>
            <w:tcW w:type="dxa" w:w="296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Handle a changed requirement</w:t>
            </w:r>
          </w:p>
        </w:tc>
        <w:tc>
          <w:tcPr>
            <w:tcW w:type="dxa" w:w="20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Lead</w:t>
            </w:r>
          </w:p>
        </w:tc>
        <w:tc>
          <w:tcPr>
            <w:tcW w:type="dxa" w:w="31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Re-uploaded document produces a new requirement version; affected approved test cases are flagged stale and queued for re-review.</w:t>
            </w:r>
          </w:p>
        </w:tc>
      </w:tr>
      <w:tr>
        <w:tc>
          <w:tcPr>
            <w:tcW w:type="dxa" w:w="114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UC-04</w:t>
            </w:r>
          </w:p>
        </w:tc>
        <w:tc>
          <w:tcPr>
            <w:tcW w:type="dxa" w:w="296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Close a coverage gap</w:t>
            </w:r>
          </w:p>
        </w:tc>
        <w:tc>
          <w:tcPr>
            <w:tcW w:type="dxa" w:w="20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Engineer</w:t>
            </w:r>
          </w:p>
        </w:tc>
        <w:tc>
          <w:tcPr>
            <w:tcW w:type="dxa" w:w="31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Gap list identifies an uncovered requirement; user triggers targeted generation or authors a case manually; gap closes.</w:t>
            </w:r>
          </w:p>
        </w:tc>
      </w:tr>
      <w:tr>
        <w:tc>
          <w:tcPr>
            <w:tcW w:type="dxa" w:w="11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UC-05</w:t>
            </w:r>
          </w:p>
        </w:tc>
        <w:tc>
          <w:tcPr>
            <w:tcW w:type="dxa" w:w="296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Produce audit evidence</w:t>
            </w:r>
          </w:p>
        </w:tc>
        <w:tc>
          <w:tcPr>
            <w:tcW w:type="dxa" w:w="20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Lead</w:t>
            </w:r>
          </w:p>
        </w:tc>
        <w:tc>
          <w:tcPr>
            <w:tcW w:type="dxa" w:w="31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Coverage matrix and run history exported to Excel and PDF for a client or auditor.</w:t>
            </w:r>
          </w:p>
        </w:tc>
      </w:tr>
      <w:tr>
        <w:tc>
          <w:tcPr>
            <w:tcW w:type="dxa" w:w="114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UC-06</w:t>
            </w:r>
          </w:p>
        </w:tc>
        <w:tc>
          <w:tcPr>
            <w:tcW w:type="dxa" w:w="296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Onboard a colleague</w:t>
            </w:r>
          </w:p>
        </w:tc>
        <w:tc>
          <w:tcPr>
            <w:tcW w:type="dxa" w:w="20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Org Administrator</w:t>
            </w:r>
          </w:p>
        </w:tc>
        <w:tc>
          <w:tcPr>
            <w:tcW w:type="dxa" w:w="31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Member invited, assigned a role, and granted access to specified projects.</w:t>
            </w:r>
          </w:p>
        </w:tc>
      </w:tr>
      <w:tr>
        <w:tc>
          <w:tcPr>
            <w:tcW w:type="dxa" w:w="11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UC-07</w:t>
            </w:r>
          </w:p>
        </w:tc>
        <w:tc>
          <w:tcPr>
            <w:tcW w:type="dxa" w:w="296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Investigate a failure</w:t>
            </w:r>
          </w:p>
        </w:tc>
        <w:tc>
          <w:tcPr>
            <w:tcW w:type="dxa" w:w="20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Engineer / Developer</w:t>
            </w:r>
          </w:p>
        </w:tc>
        <w:tc>
          <w:tcPr>
            <w:tcW w:type="dxa" w:w="31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Failed step shows the request sent, the response received, the assertion that failed and the expected value.</w:t>
            </w:r>
          </w:p>
        </w:tc>
      </w:tr>
    </w:tbl>
    <w:p>
      <w:pPr>
        <w:pStyle w:val="Heading1"/>
        <w:pageBreakBefore/>
        <w:spacing w:after="160" w:before="360"/>
      </w:pPr>
      <w:r>
        <w:rPr>
          <w:rFonts w:ascii="Calibri" w:cs="Calibri" w:eastAsia="Calibri" w:hAnsi="Calibri"/>
          <w:b/>
          <w:bCs/>
          <w:color w:val="1F4E79"/>
          <w:sz w:val="30"/>
          <w:szCs w:val="30"/>
        </w:rPr>
        <w:t xml:space="preserve">4. Functional Requirements</w:t>
      </w:r>
    </w:p>
    <w:p>
      <w:pPr>
        <w:spacing w:after="120" w:line="276"/>
      </w:pPr>
      <w:r>
        <w:rPr>
          <w:rFonts w:ascii="Calibri" w:cs="Calibri" w:eastAsia="Calibri" w:hAnsi="Calibri"/>
          <w:b w:val="false"/>
          <w:bCs w:val="false"/>
          <w:i w:val="false"/>
          <w:iCs w:val="false"/>
          <w:color w:val="262626"/>
          <w:sz w:val="21"/>
          <w:szCs w:val="21"/>
        </w:rPr>
        <w:t xml:space="preserve">Columns: ID, requirement, business parent (BR-xx), and MoSCoW priority. All Must-have requirements are in MVP scope.</w:t>
      </w:r>
    </w:p>
    <w:p>
      <w:pPr>
        <w:pStyle w:val="Heading2"/>
        <w:spacing w:after="110" w:before="260"/>
      </w:pPr>
      <w:r>
        <w:rPr>
          <w:rFonts w:ascii="Calibri" w:cs="Calibri" w:eastAsia="Calibri" w:hAnsi="Calibri"/>
          <w:b/>
          <w:bCs/>
          <w:color w:val="2E75B6"/>
          <w:sz w:val="25"/>
          <w:szCs w:val="25"/>
        </w:rPr>
        <w:t xml:space="preserve">4.1 Users, organisations and access control (FR-USR)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register and authenticate with an email address and password, with passwords stored using a modern adaptive hashing algorithm.</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group users into organisations; all projects belong to exactly one organisation.</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the roles Administrator, QA Lead, QA Engineer and Viewer, with permissions as defined in section 4.10.</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prevent any user from reading or modifying data belonging to an organisation of which they are not a member.</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an Administrator to invite, remove and change the role of organisation members.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record an immutable audit entry for authentication events, requirement edits, test case approvals and rejections, environment configuration changes, and run initiation, each with actor, timestamp and affected object.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BR-14</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reset a forgotten password through an emailed, single-use, time-limited link.</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FR-USR-08</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should support single sign-on through OIDC or SAML.</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w:t>
            </w:r>
          </w:p>
        </w:tc>
      </w:tr>
    </w:tbl>
    <w:p>
      <w:pPr>
        <w:pStyle w:val="Heading2"/>
        <w:spacing w:after="110" w:before="260"/>
      </w:pPr>
      <w:r>
        <w:rPr>
          <w:rFonts w:ascii="Calibri" w:cs="Calibri" w:eastAsia="Calibri" w:hAnsi="Calibri"/>
          <w:b/>
          <w:bCs/>
          <w:color w:val="2E75B6"/>
          <w:sz w:val="25"/>
          <w:szCs w:val="25"/>
        </w:rPr>
        <w:t xml:space="preserve">4.2 Projects and environments (FR-PRJ)</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with QA Lead or Administrator role to create, rename, archive and delete a project.</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project to define one or more named target environments, each with a base URL.</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the authentication schemes None, API key in header or query, HTTP Basic, Bearer token, and OAuth 2.0 client credentials, configured per environment.</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store environment secrets encrypted at rest and shall never display a stored secret in full after it is saved, nor include it in any log, report or export.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BR-12</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define project-level variables that may be referenced in test steps using a documented placeholder syntax.</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provide a connectivity check that verifies the base URL is reachable and the configured authentication succeeds, reporting the result without exposing the secret.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FR-PRJ-07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show a project dashboard summarising requirement count, test case count by status, coverage percentage and the latest run outcome.</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4.3 Requirements ingestion (FR-REQ)</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accept upload of a requirements source document in PDF, DOCX or Markdown format, up to a configured maximum size of 50 MB.</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extract from the document a list of discrete requirements, each with: system-assigned identifier, source identifier where present in the document, description, acceptance criteria, requirement type (functional, business rule, data, interface, non-functional), priority where stated, and a reference to its location in the source document.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perform extraction on Arabic-language documents, including right-to-left text, mixed Arabic and Latin content, and Arabic-Indic numerals, to the same functional standard as English documents.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extracted requirements for user confirmation before they are used for generation, and shall mark unconfirmed requirements as such.</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 BR-06</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edit, split, merge, delete and manually add requirements after extraction.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retain a version history per requirement, and on re-upload of an updated source document shall identify requirements that are added, modified or removed relative to the previous version.</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BR-10</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display the original source text alongside each extracted requirement so a reviewer can verify the extraction without opening the source document.</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BR-02</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FR-REQ-08</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report an extraction confidence indicator per requirement and shall sort low-confidence requirements to the top of the confirmation queue.</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FR-REQ-09</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bulk import of requirements from a CSV or Excel file with a documented column mapping.</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FR-REQ-10</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complete extraction for a document of up to 100 pages within the limit stated in NFR-PERF-02, and shall show progress while processing.</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4.4 API discovery (FR-DSC)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accept an OpenAPI 3.0 or 3.1 document, or a Swagger 2.0 document, in JSON or YAML.</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accept the specification either as an uploaded file or by fetching a user-supplied URL.</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build a normalised endpoint inventory containing, for each operation: HTTP method, path, operation identifier, summary, path/query/header parameters with type and required flag, request body schema, defined response codes with schemas, and declared security requirements.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resolve internal schema references and shall report, without failing the entire import, any operation it cannot resolve.</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the endpoint inventory for user review and shall allow the user to exclude specific operations from generation.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 BR-06</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version the endpoint inventory and, on re-import, report operations added, changed or removed.</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BR-10</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FR-DSC-07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reject a specification that fails structural validation, reporting the specific validation errors to the user.</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BR-03</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4.5 Test generation (FR-GEN)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generate API test cases from the confirmed requirement set and the endpoint inventory, on user request, for a user-selected subset of requirements or for all of them.</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Every generated test case shall carry an explicit link to at least one requirement, and the system shall reject any generated case lacking such a link.</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apply equivalence partitioning to generate at least one valid-class and one invalid-class case for each constrained input identified in the requirement or the request schema.</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BR-05</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apply boundary value analysis to generate cases at the minimum, minimum-plus-one, maximum-minus-one and maximum values for each bounded numeric, string-length or date input.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BR-05</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apply decision-table analysis where a requirement expresses two or more conditions combining to determine an outcome, generating a case per feasible condition combination.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BR-05</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validate every generated test case against the endpoint inventory before persisting it, and shall discard any case whose steps reference an endpoint, method, parameter or request field not present in the inventory. Discarded cases shall be counted and reported to the user but shall not be presented as test cases.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BR-09</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Each generated test case shall contain: title, description, preconditions, ordered steps with method, path, headers, parameters and body, expected results with explicit assertions, test type (positive, negative, boundary), priority, and its requirement links.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FR-GEN-08</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generate negative test cases covering, at minimum: missing required parameters, wrong data types, unauthenticated access to a protected operation, and malformed request bodies.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BR-05</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FR-GEN-09</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record, for each generated test case, the model and prompt version used, to permit later evaluation of generation quality.</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FR-GEN-10</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the user to regenerate cases for a single requirement without discarding approved cases linked to other requirements.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FR-GEN-11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not generate a duplicate of an existing approved test case for the same requirement and endpoint with the same input class.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FR-GEN-12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the user to specify a generation depth (smoke, standard, exhaustive) that governs how many cases are produced per requirement.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BR-04</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FR-GEN-13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Where a requirement cannot be mapped to any endpoint in the inventory, the system shall report it as unmappable rather than generating a speculative test case.</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BR-09, 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4.6 Human review and approval (FR-REV)</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place every generated test case in status Draft; only a case in status Approved shall be eligible for execution.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provide a review queue allowing a user to approve, edit or reject a test case, and shall display the linked requirement text alongside the case under review.</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full editing of every field of a test case, including steps and assertions, and shall mark an edited case as user-modified.</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bulk approve and bulk reject on a filtered selection.</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record the approving user and timestamp against each approved test case, and shall retain this record when the case is later superseded.</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BR-14</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rejected test case to be recorded with a reason selected from a fixed list plus free text, to build an evaluation dataset for generation quality.</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FR-REV-07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author a test case manually, with the same fields and requirement links as a generated one.</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BR-06</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4.7 Test execution (FR-EXE)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execute a user-selected set of approved test cases against a user-selected environment, as an asynchronous run.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execute the steps of a test case in order and shall halt that case on the first failed assertion, recording the failure point.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assertions on: HTTP status code, response body conformance to the expected schema, specific field values including comparison operators, presence or absence of a field, response header values, and response time against a threshold.</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acquire authentication for the environment once per run, reuse it across test cases, and abort the run with a single clear diagnostic if authentication fails, rather than reporting every case as failed.</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extracting a value from one step’s response and using it in a later step within the same test case, through a documented reference syntax.</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optional setup and teardown steps per test case for test data preparation and cleanup.</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record, per executed step, the request sent with secrets redacted, the response status, headers and body, the elapsed time, and the outcome of each assertion.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 BR-11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FR-EXE-08</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enforce a configurable per-request timeout and a per-run overall timeout, and shall mark affected cases as errored rather than failed.</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FR-EXE-09</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concurrent execution of independent test cases within a run, with a configurable concurrency limit per environment.</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FR-EXE-10</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cancel a run in progress, recording partial results.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FR-EXE-11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distinguish a failed test case (an assertion did not hold) from an errored test case (execution could not complete), and shall report the two separately.</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FR-EXE-12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scheduled runs on a recurring basis.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w:t>
            </w:r>
          </w:p>
        </w:tc>
      </w:tr>
    </w:tbl>
    <w:p>
      <w:pPr>
        <w:pStyle w:val="Heading2"/>
        <w:spacing w:after="110" w:before="260"/>
      </w:pPr>
      <w:r>
        <w:rPr>
          <w:rFonts w:ascii="Calibri" w:cs="Calibri" w:eastAsia="Calibri" w:hAnsi="Calibri"/>
          <w:b/>
          <w:bCs/>
          <w:color w:val="2E75B6"/>
          <w:sz w:val="25"/>
          <w:szCs w:val="25"/>
        </w:rPr>
        <w:t xml:space="preserve">4.8 Traceability and coverage (FR-TRC)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maintain a traceability matrix mapping each requirement to its linked test cases and, for each, the outcome of the most recent run.</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the matrix with per-requirement status derived as: Not covered (no approved case), Covered — not run, Passing (all linked cases passed), Failing (one or more failed), or Errored.</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produce a coverage gap list containing every requirement with no approved linked test case, and shall display coverage as a percentage of confirmed requirements.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When a requirement changes, the system shall mark every approved test case linked to it as Stale, exclude stale cases from the coverage percentage, and place them in the review queue for re-approval.</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BR-10</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add or remove a link between a test case and a requirement manually.</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filtering the matrix by requirement priority, requirement type, coverage status and latest result.</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FR-TRC-07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show, for any requirement, the full history of runs affecting its linked test cases.</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BR-08</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4.9 Reporting and export (FR-RPT)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6026"/>
        <w:gridCol w:w="1282"/>
        <w:gridCol w:w="642"/>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02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28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BR</w:t>
            </w:r>
          </w:p>
        </w:tc>
        <w:tc>
          <w:tcPr>
            <w:tcW w:type="dxa" w:w="6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FR-RPT-01</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a run report summarising total, passed, failed and errored cases, duration, environment, and the initiating user.</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FR-RPT-02</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 user to open any test case within a run report and view the full evidence recorded under FR-EXE-07.</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FR-RPT-03</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a failed case in a form usable as a defect report: the requirement it verifies, the steps taken, the request sent, the expected result, and the actual result.</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FR-RPT-04</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export the traceability matrix to Excel.</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FR-RPT-05</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export a run report, including the coverage summary, to PDF suitable for inclusion in a client or audit deliverable.</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FR-RPT-06</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present a comparison between two runs, identifying newly failing and newly passing cases.</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BR-11</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FR-RPT-07</w:t>
            </w:r>
          </w:p>
        </w:tc>
        <w:tc>
          <w:tcPr>
            <w:tcW w:type="dxa" w:w="602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render exports with correct right-to-left layout when the project language is Arabic.</w:t>
            </w:r>
          </w:p>
        </w:tc>
        <w:tc>
          <w:tcPr>
            <w:tcW w:type="dxa" w:w="128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BR-02, BR-11</w:t>
            </w:r>
          </w:p>
        </w:tc>
        <w:tc>
          <w:tcPr>
            <w:tcW w:type="dxa" w:w="6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FR-RPT-08</w:t>
            </w:r>
          </w:p>
        </w:tc>
        <w:tc>
          <w:tcPr>
            <w:tcW w:type="dxa" w:w="602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notify a configured recipient by email on run completion.</w:t>
            </w:r>
          </w:p>
        </w:tc>
        <w:tc>
          <w:tcPr>
            <w:tcW w:type="dxa" w:w="128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BR-07</w:t>
            </w:r>
          </w:p>
        </w:tc>
        <w:tc>
          <w:tcPr>
            <w:tcW w:type="dxa" w:w="6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w:t>
            </w:r>
          </w:p>
        </w:tc>
      </w:tr>
    </w:tbl>
    <w:p>
      <w:pPr>
        <w:pStyle w:val="Heading2"/>
        <w:spacing w:after="110" w:before="260"/>
      </w:pPr>
      <w:r>
        <w:rPr>
          <w:rFonts w:ascii="Calibri" w:cs="Calibri" w:eastAsia="Calibri" w:hAnsi="Calibri"/>
          <w:b/>
          <w:bCs/>
          <w:color w:val="2E75B6"/>
          <w:sz w:val="25"/>
          <w:szCs w:val="25"/>
        </w:rPr>
        <w:t xml:space="preserve">4.10 Permission matrix</w:t>
      </w:r>
    </w:p>
    <w:p>
      <w:pPr>
        <w:spacing w:after="120" w:line="276"/>
      </w:pPr>
      <w:r>
        <w:rPr>
          <w:rFonts w:ascii="Calibri" w:cs="Calibri" w:eastAsia="Calibri" w:hAnsi="Calibri"/>
          <w:b w:val="false"/>
          <w:bCs w:val="false"/>
          <w:i w:val="false"/>
          <w:iCs w:val="false"/>
          <w:color w:val="262626"/>
          <w:sz w:val="21"/>
          <w:szCs w:val="21"/>
        </w:rPr>
        <w:t xml:space="preserve">Applies within the user’s own organisation. A user with no membership has no access (FR-USR-04).</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95"/>
        <w:gridCol w:w="1391"/>
        <w:gridCol w:w="1391"/>
        <w:gridCol w:w="1518"/>
        <w:gridCol w:w="1265"/>
      </w:tblGrid>
      <w:tr>
        <w:trPr>
          <w:tblHeader/>
        </w:trPr>
        <w:tc>
          <w:tcPr>
            <w:tcW w:type="dxa" w:w="379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13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Admin</w:t>
            </w:r>
          </w:p>
        </w:tc>
        <w:tc>
          <w:tcPr>
            <w:tcW w:type="dxa" w:w="13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QA Lead</w:t>
            </w:r>
          </w:p>
        </w:tc>
        <w:tc>
          <w:tcPr>
            <w:tcW w:type="dxa" w:w="15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QA Eng.</w:t>
            </w:r>
          </w:p>
        </w:tc>
        <w:tc>
          <w:tcPr>
            <w:tcW w:type="dxa" w:w="126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Viewer</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Manage organisation members and roles</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Create, archive or delete a project</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Configure environments and secrets</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Upload requirements documents</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Confirm and edit requirements</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Import an API specification</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Trigger test generation</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Edit a draft test case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Approve or reject a test case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Trigger a run</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View results, matrix and reports</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Export matrix and reports</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View the audit log</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3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5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c>
          <w:tcPr>
            <w:tcW w:type="dxa" w:w="1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bl>
    <w:p>
      <w:pPr>
        <w:pStyle w:val="Heading1"/>
        <w:pageBreakBefore/>
        <w:spacing w:after="160" w:before="360"/>
      </w:pPr>
      <w:r>
        <w:rPr>
          <w:rFonts w:ascii="Calibri" w:cs="Calibri" w:eastAsia="Calibri" w:hAnsi="Calibri"/>
          <w:b/>
          <w:bCs/>
          <w:color w:val="1F4E79"/>
          <w:sz w:val="30"/>
          <w:szCs w:val="30"/>
        </w:rPr>
        <w:t xml:space="preserve">5. Object State Models</w:t>
      </w:r>
    </w:p>
    <w:p>
      <w:pPr>
        <w:pStyle w:val="Heading2"/>
        <w:spacing w:after="110" w:before="260"/>
      </w:pPr>
      <w:r>
        <w:rPr>
          <w:rFonts w:ascii="Calibri" w:cs="Calibri" w:eastAsia="Calibri" w:hAnsi="Calibri"/>
          <w:b/>
          <w:bCs/>
          <w:color w:val="2E75B6"/>
          <w:sz w:val="25"/>
          <w:szCs w:val="25"/>
        </w:rPr>
        <w:t xml:space="preserve">5.1 Test case states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72"/>
        <w:gridCol w:w="4011"/>
        <w:gridCol w:w="3477"/>
      </w:tblGrid>
      <w:tr>
        <w:trPr>
          <w:tblHeader/>
        </w:trPr>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State</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Meaning</w:t>
            </w:r>
          </w:p>
        </w:tc>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Permitted transitions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Draft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Generated or manually created; not yet approved. Not executable.</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Approved (approve), → Rejected (reject), → Draft (edit)</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Approved</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Reviewed and accepted by an authorised user. Executable, and counts towards coverage.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Stale (linked requirement changed), → Draft (edited), → Archived</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Rejected</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Reviewed and declined. Not executable, does not count towards coverage. Retained for evaluation.</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Draft (reopen)</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Stale</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Was approved, but its linked requirement has since changed. Not executable until re-approved; excluded from coverage.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Approved (re-approve), → Draft (edit), → Rejected</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Archived</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Retained for history; excluded from all counts and runs.</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Draft (restore)</w:t>
            </w:r>
          </w:p>
        </w:tc>
      </w:tr>
    </w:tbl>
    <w:p>
      <w:pPr>
        <w:pStyle w:val="Heading2"/>
        <w:spacing w:after="110" w:before="260"/>
      </w:pPr>
      <w:r>
        <w:rPr>
          <w:rFonts w:ascii="Calibri" w:cs="Calibri" w:eastAsia="Calibri" w:hAnsi="Calibri"/>
          <w:b/>
          <w:bCs/>
          <w:color w:val="2E75B6"/>
          <w:sz w:val="25"/>
          <w:szCs w:val="25"/>
        </w:rPr>
        <w:t xml:space="preserve">5.2 Requirement states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6"/>
        <w:gridCol w:w="4279"/>
        <w:gridCol w:w="3075"/>
      </w:tblGrid>
      <w:tr>
        <w:trPr>
          <w:tblHeader/>
        </w:trPr>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State</w:t>
            </w:r>
          </w:p>
        </w:tc>
        <w:tc>
          <w:tcPr>
            <w:tcW w:type="dxa" w:w="427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Meaning</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Effect</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Extracted</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Produced by parsing; not yet confirmed by a user.</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eligible for generation; excluded from coverage percentage.</w:t>
            </w:r>
          </w:p>
        </w:tc>
      </w:tr>
      <w:tr>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Confirmed</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Reviewed and accepted by a user as an accurate representation of the source.</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Eligible for generation; included in coverage percentage.</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Changed</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newer version exists following a document re-upload.</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Linked approved test cases become Stale (FR-TRC-04).</w:t>
            </w:r>
          </w:p>
        </w:tc>
      </w:tr>
      <w:tr>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Removed</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Present in a prior version, absent from the current source document.</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Excluded from coverage; linked test cases flagged for review or archiving.</w:t>
            </w:r>
          </w:p>
        </w:tc>
      </w:tr>
    </w:tbl>
    <w:p>
      <w:pPr>
        <w:pStyle w:val="Heading2"/>
        <w:spacing w:after="110" w:before="260"/>
      </w:pPr>
      <w:r>
        <w:rPr>
          <w:rFonts w:ascii="Calibri" w:cs="Calibri" w:eastAsia="Calibri" w:hAnsi="Calibri"/>
          <w:b/>
          <w:bCs/>
          <w:color w:val="2E75B6"/>
          <w:sz w:val="25"/>
          <w:szCs w:val="25"/>
        </w:rPr>
        <w:t xml:space="preserve">5.3 Run states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72"/>
        <w:gridCol w:w="7488"/>
      </w:tblGrid>
      <w:tr>
        <w:trPr>
          <w:tblHeader/>
        </w:trPr>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State</w:t>
            </w:r>
          </w:p>
        </w:tc>
        <w:tc>
          <w:tcPr>
            <w:tcW w:type="dxa" w:w="748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Meaning</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Queued</w:t>
            </w:r>
          </w:p>
        </w:tc>
        <w:tc>
          <w:tcPr>
            <w:tcW w:type="dxa" w:w="748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Accepted and awaiting an execution worker.</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Running</w:t>
            </w:r>
          </w:p>
        </w:tc>
        <w:tc>
          <w:tcPr>
            <w:tcW w:type="dxa" w:w="748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in progress; partial results are visible as they are produced.</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Completed</w:t>
            </w:r>
          </w:p>
        </w:tc>
        <w:tc>
          <w:tcPr>
            <w:tcW w:type="dxa" w:w="748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All selected cases reached a terminal outcome (passed, failed or errored).</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Cancelled</w:t>
            </w:r>
          </w:p>
        </w:tc>
        <w:tc>
          <w:tcPr>
            <w:tcW w:type="dxa" w:w="748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Stopped by a user; partial results retained.</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Aborted</w:t>
            </w:r>
          </w:p>
        </w:tc>
        <w:tc>
          <w:tcPr>
            <w:tcW w:type="dxa" w:w="748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Stopped by the system, for example on environment authentication failure (FR-EXE-04) or overall timeout.</w:t>
            </w:r>
          </w:p>
        </w:tc>
      </w:tr>
    </w:tbl>
    <w:p>
      <w:pPr>
        <w:pStyle w:val="Heading1"/>
        <w:pageBreakBefore/>
        <w:spacing w:after="160" w:before="360"/>
      </w:pPr>
      <w:r>
        <w:rPr>
          <w:rFonts w:ascii="Calibri" w:cs="Calibri" w:eastAsia="Calibri" w:hAnsi="Calibri"/>
          <w:b/>
          <w:bCs/>
          <w:color w:val="1F4E79"/>
          <w:sz w:val="30"/>
          <w:szCs w:val="30"/>
        </w:rPr>
        <w:t xml:space="preserve">6. External Interface Requirements</w:t>
      </w:r>
    </w:p>
    <w:p>
      <w:pPr>
        <w:pStyle w:val="Heading2"/>
        <w:spacing w:after="110" w:before="260"/>
      </w:pPr>
      <w:r>
        <w:rPr>
          <w:rFonts w:ascii="Calibri" w:cs="Calibri" w:eastAsia="Calibri" w:hAnsi="Calibri"/>
          <w:b/>
          <w:bCs/>
          <w:color w:val="2E75B6"/>
          <w:sz w:val="25"/>
          <w:szCs w:val="25"/>
        </w:rPr>
        <w:t xml:space="preserve">6.1 User interfaces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Responsive web interface targeting a minimum viewport width of 1280 pixels.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Interface language selectable between English and Arabic; when Arabic is selected the layout is fully right-to-left (NFR-USE-03).</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Long-running operations — extraction, generation, execution — must display progress and must not block the interface.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review queue is the most frequently used screen and must support keyboard-driven approve, reject and next-item actions.</w:t>
      </w:r>
    </w:p>
    <w:p>
      <w:pPr>
        <w:pStyle w:val="Heading2"/>
        <w:spacing w:after="110" w:before="260"/>
      </w:pPr>
      <w:r>
        <w:rPr>
          <w:rFonts w:ascii="Calibri" w:cs="Calibri" w:eastAsia="Calibri" w:hAnsi="Calibri"/>
          <w:b/>
          <w:bCs/>
          <w:color w:val="2E75B6"/>
          <w:sz w:val="25"/>
          <w:szCs w:val="25"/>
        </w:rPr>
        <w:t xml:space="preserve">6.2 Interface to the system under test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HTTP and HTTPS only in the MVP. No SOAP, GraphQL, gRPC or message-queue protocols.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execution environment must permit configuration of a network egress allow-list, so that a customer can restrict which hosts the platform may call.</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Self-signed certificates may be permitted per environment by explicit opt-in, defaulting to strict verification.</w:t>
      </w:r>
    </w:p>
    <w:p>
      <w:pPr>
        <w:pStyle w:val="Heading2"/>
        <w:spacing w:after="110" w:before="260"/>
      </w:pPr>
      <w:r>
        <w:rPr>
          <w:rFonts w:ascii="Calibri" w:cs="Calibri" w:eastAsia="Calibri" w:hAnsi="Calibri"/>
          <w:b/>
          <w:bCs/>
          <w:color w:val="2E75B6"/>
          <w:sz w:val="25"/>
          <w:szCs w:val="25"/>
        </w:rPr>
        <w:t xml:space="preserve">6.3 Interface to the language model provider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All model interaction passes through an internal abstraction with a stable interface, so the provider can be replaced without changing calling code (CON-02).</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All model responses used to create persisted objects must be returned as structured data conforming to a declared schema, and must be validated before use (NFR-REL-04).</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system must record model identifier, prompt version and token consumption per call, for cost control and quality evaluation.</w:t>
      </w:r>
    </w:p>
    <w:p>
      <w:pPr>
        <w:pStyle w:val="Heading2"/>
        <w:spacing w:after="110" w:before="260"/>
      </w:pPr>
      <w:r>
        <w:rPr>
          <w:rFonts w:ascii="Calibri" w:cs="Calibri" w:eastAsia="Calibri" w:hAnsi="Calibri"/>
          <w:b/>
          <w:bCs/>
          <w:color w:val="2E75B6"/>
          <w:sz w:val="25"/>
          <w:szCs w:val="25"/>
        </w:rPr>
        <w:t xml:space="preserve">6.4 Public API</w:t>
      </w:r>
    </w:p>
    <w:p>
      <w:pPr>
        <w:spacing w:after="120" w:line="276"/>
      </w:pPr>
      <w:r>
        <w:rPr>
          <w:rFonts w:ascii="Calibri" w:cs="Calibri" w:eastAsia="Calibri" w:hAnsi="Calibri"/>
          <w:b w:val="false"/>
          <w:bCs w:val="false"/>
          <w:i w:val="false"/>
          <w:iCs w:val="false"/>
          <w:color w:val="262626"/>
          <w:sz w:val="21"/>
          <w:szCs w:val="21"/>
        </w:rPr>
        <w:t xml:space="preserve">The MVP exposes a documented HTTP API covering project creation, requirement retrieval, run initiation and result retrieval, to permit later CI/CD integration without redesign. Endpoint definitions are specified in the TRD.</w:t>
      </w:r>
    </w:p>
    <w:p>
      <w:pPr>
        <w:pStyle w:val="Heading1"/>
        <w:pageBreakBefore/>
        <w:spacing w:after="160" w:before="360"/>
      </w:pPr>
      <w:r>
        <w:rPr>
          <w:rFonts w:ascii="Calibri" w:cs="Calibri" w:eastAsia="Calibri" w:hAnsi="Calibri"/>
          <w:b/>
          <w:bCs/>
          <w:color w:val="1F4E79"/>
          <w:sz w:val="30"/>
          <w:szCs w:val="30"/>
        </w:rPr>
        <w:t xml:space="preserve">7. Non-Functional Requirements</w:t>
      </w:r>
    </w:p>
    <w:p>
      <w:pPr>
        <w:pStyle w:val="Heading2"/>
        <w:spacing w:after="110" w:before="260"/>
      </w:pPr>
      <w:r>
        <w:rPr>
          <w:rFonts w:ascii="Calibri" w:cs="Calibri" w:eastAsia="Calibri" w:hAnsi="Calibri"/>
          <w:b/>
          <w:bCs/>
          <w:color w:val="2E75B6"/>
          <w:sz w:val="25"/>
          <w:szCs w:val="25"/>
        </w:rPr>
        <w:t xml:space="preserve">7.1 Performance (NFR-PERF)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Interactive pages shall render within 2 seconds at the 95th percentile, for a project holding up to 500 requirements and 5,000 test cases.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Requirements extraction shall complete within 5 minutes for a 100-page document at the 90th percentile.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Test generation shall complete within 3 minutes for a batch of 50 requirements at the 90th percentile.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execute at least 100 API test cases within 10 minutes against a responsive environment, at default concurrency.</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NFR-PERF-05</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traceability matrix shall render within 3 seconds for a project of 500 requirements.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NFR-PERF-06</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No long-running operation shall block the user interface; all shall report progress.</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7.2 Security (NFR-SEC)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All network traffic to the application shall be over TLS 1.2 or higher.</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Environment secrets and any credential for a system under test shall be encrypted at rest using an authenticated encryption scheme, with keys held outside the application database.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Secrets shall never appear in logs, run evidence, exports, error messages or support tooling; redaction shall occur before persistence, not at display time.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Every data access path shall enforce organisation-level isolation at the query layer, not only in the user interface.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NFR-SEC-05</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Uploaded documents shall be validated by type and size and processed in a sandboxed context with no access to application credentials.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NFR-SEC-06</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be capable of operating with no outbound network access other than to the configured system under test and the configured model endpoint.</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NFR-SEC-07</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Authentication sessions shall expire after a configurable period of inactivity, defaulting to 12 hours.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NFR-SEC-08</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audit log shall be append-only and shall not be modifiable through the application interface.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NFR-SEC-09</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enforce a rate limit on authentication attempts and on generation requests.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NFR-SEC-10</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documented data retention and deletion policy shall be implemented, allowing an organisation to request deletion of its data.</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7.3 Reliability and correctness (NFR-REL)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Monthly availability of the hosted service shall be at least 99.5% during the pilot.</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Failure of an individual test case shall not abort a run; the run continues and records the outcome per case.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failure of the model provider shall degrade generation only; ingestion, execution, traceability and reporting shall remain available.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Every model response used to create a persisted object shall be schema-validated, and every identifier it references shall be verified against the endpoint inventory before persistence. The proportion of persisted test cases containing an identifier absent from the inventory shall be zero (BO-07).</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NFR-REL-05</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Extraction, generation and execution shall be idempotent with respect to retries; a retried operation shall not create duplicate objects.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NFR-REL-06</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Run results, once written, shall be immutable.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NFR-REL-07</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retain data such that a point-in-time restore to within 24 hours is possible.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7.4 Usability (NFR-USE)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QA engineer with no prior training shall be able to complete UC-01 end to end using in-product guidance alone.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Time from project creation to first executed run, given an OpenAPI specification and a requirements document, shall not exceed 15 minutes for a first-time user.</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interface shall support Arabic with full right-to-left layout, including tables, forms, navigation and exported reports — not merely translated strings within a left-to-right layout.</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Every error message shall state what failed and what the user can do about it; raw stack traces and provider errors shall not be surfaced to end users.</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NFR-USE-05</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review queue shall allow a reviewer to process a test case without leaving the screen or losing filter context.</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NFR-USE-06</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interface should meet WCAG 2.1 Level AA for colour contrast and keyboard navigation.</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7.5 Portability and deployment (NFR-POR)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NFR-POR-01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All components shall run in Linux containers and shall be deployable by a documented container orchestration manifest.</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NFR-POR-02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have no dependency on a proprietary managed service that cannot be substituted by a self-hosted equivalent (CON-01).</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NFR-POR-03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All configuration shall be supplied by environment variables or mounted configuration; no environment-specific value shall be compiled into an image.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NFR-POR-04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substitution of the model provider, including a self-hosted model, by configuration alone.</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7.6 Scalability (NFR-SCA)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NFR-SCA-01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MVP shall support at least 20 organisations, 200 users and 50 concurrent runs without architectural change.</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NFR-SCA-02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Execution workers shall scale horizontally, independently of the web tier.</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NFR-SCA-03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project shall support at least 2,000 requirements and 20,000 test cases without degradation beyond NFR-PERF limits.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2"/>
        <w:spacing w:after="110" w:before="260"/>
      </w:pPr>
      <w:r>
        <w:rPr>
          <w:rFonts w:ascii="Calibri" w:cs="Calibri" w:eastAsia="Calibri" w:hAnsi="Calibri"/>
          <w:b/>
          <w:bCs/>
          <w:color w:val="2E75B6"/>
          <w:sz w:val="25"/>
          <w:szCs w:val="25"/>
        </w:rPr>
        <w:t xml:space="preserve">7.7 Maintainability and observability (NFR-MNT)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NFR-MNT-01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Every request and background job shall carry a correlation identifier present in all related log entries.</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NFR-MNT-02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emit metrics for extraction, generation and execution volume, latency, error rate, and model token consumption per organisation.</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NFR-MNT-03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Prompts shall be versioned artefacts stored under source control, and the version used shall be recorded against each generated test case (FR-GEN-09).</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NFR-MNT-04</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product’s own automated test suite shall cover the grounding validation logic (FR-GEN-06) and the permission enforcement logic (FR-USR-04) at a minimum, and these shall be release gates.</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bl>
    <w:p>
      <w:pPr>
        <w:pStyle w:val="Heading2"/>
        <w:spacing w:after="110" w:before="260"/>
      </w:pPr>
      <w:r>
        <w:rPr>
          <w:rFonts w:ascii="Calibri" w:cs="Calibri" w:eastAsia="Calibri" w:hAnsi="Calibri"/>
          <w:b/>
          <w:bCs/>
          <w:color w:val="2E75B6"/>
          <w:sz w:val="25"/>
          <w:szCs w:val="25"/>
        </w:rPr>
        <w:t xml:space="preserve">7.8 Compliance (NFR-COM)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6418"/>
        <w:gridCol w:w="1337"/>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w:t>
            </w:r>
          </w:p>
        </w:tc>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NFR-COM-01</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document, in a form suitable for a customer security questionnaire, every category of customer data processed, where it is stored, how long it is retained, and which third parties receive it.</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NFR-COM-02</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a deployment configuration in which no customer data leaves infrastructure controlled by the customer.</w:t>
            </w:r>
          </w:p>
        </w:tc>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NFR-COM-03</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allow an organisation to export all of its data in a machine-readable form and to request its deletion.</w:t>
            </w:r>
          </w:p>
        </w:tc>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bl>
    <w:p>
      <w:pPr>
        <w:pStyle w:val="Heading1"/>
        <w:pageBreakBefore/>
        <w:spacing w:after="160" w:before="360"/>
      </w:pPr>
      <w:r>
        <w:rPr>
          <w:rFonts w:ascii="Calibri" w:cs="Calibri" w:eastAsia="Calibri" w:hAnsi="Calibri"/>
          <w:b/>
          <w:bCs/>
          <w:color w:val="1F4E79"/>
          <w:sz w:val="30"/>
          <w:szCs w:val="30"/>
        </w:rPr>
        <w:t xml:space="preserve">8. Data Requirements</w:t>
      </w:r>
    </w:p>
    <w:p>
      <w:pPr>
        <w:pStyle w:val="Heading2"/>
        <w:spacing w:after="110" w:before="260"/>
      </w:pPr>
      <w:r>
        <w:rPr>
          <w:rFonts w:ascii="Calibri" w:cs="Calibri" w:eastAsia="Calibri" w:hAnsi="Calibri"/>
          <w:b/>
          <w:bCs/>
          <w:color w:val="2E75B6"/>
          <w:sz w:val="25"/>
          <w:szCs w:val="25"/>
        </w:rPr>
        <w:t xml:space="preserve">8.1 Principal entities</w:t>
      </w:r>
    </w:p>
    <w:p>
      <w:pPr>
        <w:spacing w:after="120" w:line="276"/>
      </w:pPr>
      <w:r>
        <w:rPr>
          <w:rFonts w:ascii="Calibri" w:cs="Calibri" w:eastAsia="Calibri" w:hAnsi="Calibri"/>
          <w:b w:val="false"/>
          <w:bCs w:val="false"/>
          <w:i w:val="false"/>
          <w:iCs w:val="false"/>
          <w:color w:val="262626"/>
          <w:sz w:val="21"/>
          <w:szCs w:val="21"/>
        </w:rPr>
        <w:t xml:space="preserve">Logical model only; physical schema is specified in the TRD.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4011"/>
        <w:gridCol w:w="3076"/>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Entity</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Key attributes</w:t>
            </w:r>
          </w:p>
        </w:tc>
        <w:tc>
          <w:tcPr>
            <w:tcW w:type="dxa" w:w="307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Relationships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Organisation</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name, plan, settings</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has many Users, Projects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User</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email, password hash, role, locale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Organisation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Project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name, language, status</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Organisation; has many Environments, Documents, Requirements, TestCases, Runs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Environment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name, base URL, auth type, encrypted secrets, variables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SourceDocument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filename, type, language, upload timestamp, version</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 produces many Requirements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Requirement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external id, description, acceptance criteria, type, priority, state, version, source location, confidence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 and SourceDocument; linked to many TestCases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ApiSpec</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source (file or URL), format, version, import timestamp</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 produces many Endpoints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method, path, operation id, parameters, request schema, response schemas, security</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ApiSpec</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TestCase</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title, description, preconditions, type, priority, state, generated flag, model, prompt version, approver, approval timestamp</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 links to many Requirements; has many TestSteps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TestStep</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order, method, endpoint reference, headers, parameters, body, assertions, extractions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TestCase; references Endpoint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environment, initiator, state, started, finished, counts</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Project; has many TestResults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TestResult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outcome, duration, failure reason, step evidence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Run and TestCase</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AuditEntry</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actor, action, object type, object id, timestamp, detail</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belongs to Organisation</w:t>
            </w:r>
          </w:p>
        </w:tc>
      </w:tr>
    </w:tbl>
    <w:p>
      <w:pPr>
        <w:pStyle w:val="Heading2"/>
        <w:spacing w:after="110" w:before="260"/>
      </w:pPr>
      <w:r>
        <w:rPr>
          <w:rFonts w:ascii="Calibri" w:cs="Calibri" w:eastAsia="Calibri" w:hAnsi="Calibri"/>
          <w:b/>
          <w:bCs/>
          <w:color w:val="2E75B6"/>
          <w:sz w:val="25"/>
          <w:szCs w:val="25"/>
        </w:rPr>
        <w:t xml:space="preserve">8.2 Data handling rules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link between Requirement and TestCase is many-to-many and is the central relationship of the product; it must be a first-class table, not a text field.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Requirements and test cases are versioned; run results are immutable and reference the version of the test case executed.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Secrets are stored only in encrypted form and are excluded from every export, log and report by construction.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Deleting a project shall remove its documents, requirements, test cases and results, while retaining audit entries in anonymised form.</w:t>
      </w:r>
    </w:p>
    <w:p>
      <w:pPr>
        <w:pStyle w:val="Heading1"/>
        <w:pageBreakBefore/>
        <w:spacing w:after="160" w:before="360"/>
      </w:pPr>
      <w:r>
        <w:rPr>
          <w:rFonts w:ascii="Calibri" w:cs="Calibri" w:eastAsia="Calibri" w:hAnsi="Calibri"/>
          <w:b/>
          <w:bCs/>
          <w:color w:val="1F4E79"/>
          <w:sz w:val="30"/>
          <w:szCs w:val="30"/>
        </w:rPr>
        <w:t xml:space="preserve">9. MVP Acceptance Criteria</w:t>
      </w:r>
    </w:p>
    <w:p>
      <w:pPr>
        <w:spacing w:after="120" w:line="276"/>
      </w:pPr>
      <w:r>
        <w:rPr>
          <w:rFonts w:ascii="Calibri" w:cs="Calibri" w:eastAsia="Calibri" w:hAnsi="Calibri"/>
          <w:b w:val="false"/>
          <w:bCs w:val="false"/>
          <w:i w:val="false"/>
          <w:iCs w:val="false"/>
          <w:color w:val="262626"/>
          <w:sz w:val="21"/>
          <w:szCs w:val="21"/>
        </w:rPr>
        <w:t xml:space="preserve">The MVP is accepted when all of the following hold, each demonstrated on a real design-partner project rather than on a sample.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5520"/>
        <w:gridCol w:w="2640"/>
      </w:tblGrid>
      <w:tr>
        <w:trPr>
          <w:tblHeader/>
        </w:trPr>
        <w:tc>
          <w:tcPr>
            <w:tcW w:type="dxa" w:w="12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552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Acceptance criterion</w:t>
            </w:r>
          </w:p>
        </w:tc>
        <w:tc>
          <w:tcPr>
            <w:tcW w:type="dxa" w:w="26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Verification method</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AC-01</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 Arabic requirements document of at least 30 pages is ingested and at least 90% of its requirements are extracted such that a QA lead confirms them with no edit or with minor edits only.</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Partner-run demonstration with reviewer scoring.</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AC-02</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 English requirements document achieves the same result.</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Partner-run demonstration.</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AC-03</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 OpenAPI 3.x specification is imported and the endpoint inventory matches the specification with no missing operations.</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comparison against the source specification.</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AC-04</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Generated test cases for a sample of 50 requirements contain zero references to endpoints, parameters or fields absent from the inventory.</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grounding check over the persisted set (BO-07, NFR-REL-04).</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AC-05</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At least 70% of generated test cases are approved by a QA reviewer with no edit or with minor edits only.</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Reviewer scoring in the review queue (BO-02).</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AC-06</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Generated cases for a bounded-input requirement demonstrably include boundary and invalid-class cases.</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Inspection by a QA lead against the ISTQB techniques.</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AC-07</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run of at least 100 approved cases executes against a live environment and produces per-case results with full evidence.</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Observed execution.</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AC-08</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traceability matrix correctly reflects requirement, linked cases and latest result, and the coverage gap list is accurate against a manual check.</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Manual verification against a sample of 30 requirements.</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AC-09</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Changing a requirement and re-uploading the document marks the correct approved test cases as Stale.</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Controlled test with a modified document.</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AC-10</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matrix exports to Excel and the run report to PDF, both rendering correctly in right-to-left when the project language is Arabic.</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Inspection of exported artefacts.</w:t>
            </w:r>
          </w:p>
        </w:tc>
      </w:tr>
      <w:tr>
        <w:tc>
          <w:tcPr>
            <w:tcW w:type="dxa" w:w="12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AC-11</w:t>
            </w:r>
          </w:p>
        </w:tc>
        <w:tc>
          <w:tcPr>
            <w:tcW w:type="dxa" w:w="552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user of one organisation cannot access another organisation’s data through any interface, including the public API.</w:t>
            </w:r>
          </w:p>
        </w:tc>
        <w:tc>
          <w:tcPr>
            <w:tcW w:type="dxa" w:w="26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Security test against every endpoint.</w:t>
            </w:r>
          </w:p>
        </w:tc>
      </w:tr>
      <w:tr>
        <w:tc>
          <w:tcPr>
            <w:tcW w:type="dxa" w:w="1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AC-12</w:t>
            </w:r>
          </w:p>
        </w:tc>
        <w:tc>
          <w:tcPr>
            <w:tcW w:type="dxa" w:w="552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first-time user completes project creation to first executed run within 15 minutes without assistance.</w:t>
            </w:r>
          </w:p>
        </w:tc>
        <w:tc>
          <w:tcPr>
            <w:tcW w:type="dxa" w:w="26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Timed observation with a design partner (NFR-USE-02).</w:t>
            </w:r>
          </w:p>
        </w:tc>
      </w:tr>
    </w:tbl>
    <w:p>
      <w:pPr>
        <w:pStyle w:val="Heading1"/>
        <w:pageBreakBefore/>
        <w:spacing w:after="160" w:before="360"/>
      </w:pPr>
      <w:r>
        <w:rPr>
          <w:rFonts w:ascii="Calibri" w:cs="Calibri" w:eastAsia="Calibri" w:hAnsi="Calibri"/>
          <w:b/>
          <w:bCs/>
          <w:color w:val="1F4E79"/>
          <w:sz w:val="30"/>
          <w:szCs w:val="30"/>
        </w:rPr>
        <w:t xml:space="preserve">10. Traceability Matrix — Business to Functional Requirements</w:t>
      </w:r>
    </w:p>
    <w:p>
      <w:pPr>
        <w:spacing w:after="120" w:line="276"/>
      </w:pPr>
      <w:r>
        <w:rPr>
          <w:rFonts w:ascii="Calibri" w:cs="Calibri" w:eastAsia="Calibri" w:hAnsi="Calibri"/>
          <w:b w:val="false"/>
          <w:bCs w:val="false"/>
          <w:i w:val="false"/>
          <w:iCs w:val="false"/>
          <w:color w:val="262626"/>
          <w:sz w:val="21"/>
          <w:szCs w:val="21"/>
        </w:rPr>
        <w:t xml:space="preserve">Backward traceability. Every Must-have business requirement in the BRD is covered by at least one functional requirement below.</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37"/>
        <w:gridCol w:w="4011"/>
        <w:gridCol w:w="4012"/>
      </w:tblGrid>
      <w:tr>
        <w:trPr>
          <w:tblHeader/>
        </w:trPr>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BR</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Business requirement (abbreviated)</w:t>
            </w:r>
          </w:p>
        </w:tc>
        <w:tc>
          <w:tcPr>
            <w:tcW w:type="dxa" w:w="401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Covering functional requirements</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BR-01</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Ingest requirements documents without re-keying</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FR-REQ-01, 02, 04, 05, 08, 09, 10</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BR-02</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Arabic-language parity</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FR-REQ-03, FR-REQ-07, FR-RPT-07, NFR-USE-03</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BR-03</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 API surface from specification</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FR-DSC-01 … 05, FR-DSC-07</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BR-04</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Requirement-linked generation</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FR-GEN-01, 02, 07, 09, 10, 11, 12</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BR-05</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Formal test design techniques</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FR-GEN-03, 04, 05, 08</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BR-06</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Human review authority</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FR-REQ-04, FR-DSC-05, FR-REV-01 … 07</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BR-07</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Execute approved tests</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FR-PRJ-02, 03, 05, 06; FR-EXE-01 … 12</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BR-08</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matrix and gap detection</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FR-TRC-01, 02, 03, 05, 06, 07; FR-PRJ-07; FR-GEN-13</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BR-09</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fabricated identifiers</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FR-GEN-06, FR-GEN-13, NFR-REL-04</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BR-10</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Flag tests affected by requirement change</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FR-REQ-06, FR-DSC-06, FR-TRC-04</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BR-11</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Export traceability and results</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FR-EXE-07, FR-RPT-01 … 07</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BR-12</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Role-based access control</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FR-USR-01 … 05, 07, 08; FR-PRJ-01, 04; NFR-SEC-04</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BR-13</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Customer-controlled deployment</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NFR-POR-01 … 04, NFR-SEC-06, NFR-COM-02</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BR-14</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Approval audit trail</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FR-USR-06, FR-REV-05, NFR-SEC-08</w:t>
            </w:r>
          </w:p>
        </w:tc>
      </w:tr>
    </w:tbl>
    <w:p>
      <w:pPr>
        <w:pStyle w:val="Heading1"/>
        <w:pageBreakBefore/>
        <w:spacing w:after="160" w:before="360"/>
      </w:pPr>
      <w:r>
        <w:rPr>
          <w:rFonts w:ascii="Calibri" w:cs="Calibri" w:eastAsia="Calibri" w:hAnsi="Calibri"/>
          <w:b/>
          <w:bCs/>
          <w:color w:val="1F4E79"/>
          <w:sz w:val="30"/>
          <w:szCs w:val="30"/>
        </w:rPr>
        <w:t xml:space="preserve">11. Out of Scope for This Release</w:t>
      </w:r>
    </w:p>
    <w:p>
      <w:pPr>
        <w:spacing w:after="120" w:line="276"/>
      </w:pPr>
      <w:r>
        <w:rPr>
          <w:rFonts w:ascii="Calibri" w:cs="Calibri" w:eastAsia="Calibri" w:hAnsi="Calibri"/>
          <w:b w:val="false"/>
          <w:bCs w:val="false"/>
          <w:i w:val="false"/>
          <w:iCs w:val="false"/>
          <w:color w:val="262626"/>
          <w:sz w:val="21"/>
          <w:szCs w:val="21"/>
        </w:rPr>
        <w:t xml:space="preserve">Restated from the BRD so that this document is self-contained for the engineering team. Any request to add one of these items requires a scope trade under BRD section 8.3.</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UI test generation, execution and self-healing selectors.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API discovery from observed network traffic where no specification exists.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CI/CD pipeline integration beyond the public API described in section 6.4.</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Jira, Xray and other issue-tracker integrations.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RTL, localisation and accessibility testing of the system under test (as distinct from RTL support in TADQEEQ’s own interface, which is in scope).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Performance, load and security testing of the system under test.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Confluence or other live requirement sources; mobile applications; SOAP, GraphQL and gRPC protocols.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Packaged, supported on-premise distribution. The architecture must permit it (NFR-POR); the distribution itself is a v3 deliverable.</w:t>
      </w:r>
    </w:p>
    <w:p>
      <w:pPr>
        <w:pStyle w:val="Heading1"/>
        <w:pageBreakBefore/>
        <w:spacing w:after="160" w:before="360"/>
      </w:pPr>
      <w:r>
        <w:rPr>
          <w:rFonts w:ascii="Calibri" w:cs="Calibri" w:eastAsia="Calibri" w:hAnsi="Calibri"/>
          <w:b/>
          <w:bCs/>
          <w:color w:val="1F4E79"/>
          <w:sz w:val="30"/>
          <w:szCs w:val="30"/>
        </w:rPr>
        <w:t xml:space="preserve">12. Open Items for Engineering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883"/>
        <w:gridCol w:w="2407"/>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88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Item</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Needed by</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E-01</w:t>
            </w:r>
          </w:p>
        </w:tc>
        <w:tc>
          <w:tcPr>
            <w:tcW w:type="dxa" w:w="58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Confirm the extraction quality achievable on real Arabic scope-of-work documents, and decide whether a layout-aware pre-processing step is required before the LLM stage.</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build start (BRD Q-03).</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E-02</w:t>
            </w:r>
          </w:p>
        </w:tc>
        <w:tc>
          <w:tcPr>
            <w:tcW w:type="dxa" w:w="58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mapping heuristic from a requirement to candidate endpoints, and its confidence threshold below which a requirement is reported unmappable (FR-GEN-13).</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E-03</w:t>
            </w:r>
          </w:p>
        </w:tc>
        <w:tc>
          <w:tcPr>
            <w:tcW w:type="dxa" w:w="58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Fix the JSON schema for generated test cases and the grounding validation rules, and write the automated tests that gate them (NFR-MNT-04).</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E-04</w:t>
            </w:r>
          </w:p>
        </w:tc>
        <w:tc>
          <w:tcPr>
            <w:tcW w:type="dxa" w:w="58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secret storage mechanism and key custody model for on-premise deployments (NFR-SEC-02).</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2.</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E-05</w:t>
            </w:r>
          </w:p>
        </w:tc>
        <w:tc>
          <w:tcPr>
            <w:tcW w:type="dxa" w:w="58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Measure model cost per 100-page document and per 50-requirement generation batch, to inform plan volume limits (BRD R-07).</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2.</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E-06</w:t>
            </w:r>
          </w:p>
        </w:tc>
        <w:tc>
          <w:tcPr>
            <w:tcW w:type="dxa" w:w="58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Determine whether requirement versioning uses full snapshots or diffs, given the staleness detection requirement (FR-TRC-04).</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1.</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TADQEEQ</dc:title>
  <dc:creator>TADQEEQ Product Team</dc:creator>
  <dc:description>Software Requirements Specification</dc:description>
  <cp:lastModifiedBy>Un-named</cp:lastModifiedBy>
  <cp:revision>1</cp:revision>
  <dcterms:created xsi:type="dcterms:W3CDTF">2026-07-24T20:05:02.650Z</dcterms:created>
  <dcterms:modified xsi:type="dcterms:W3CDTF">2026-07-24T20:05:02.651Z</dcterms:modified>
</cp:coreProperties>
</file>

<file path=docProps/custom.xml><?xml version="1.0" encoding="utf-8"?>
<Properties xmlns="http://schemas.openxmlformats.org/officeDocument/2006/custom-properties" xmlns:vt="http://schemas.openxmlformats.org/officeDocument/2006/docPropsVTypes"/>
</file>