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Software Requirements Specification (SRS) — Version 2.0</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Functional and non-functional requirements for the Quality Operating System</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Software Requirements Specification (SRS) — Version 2.0</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2.0 (Platform expansion)</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Owner with Head of Engineering</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 pending BRD v2.0 approval and v1 entry gates</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Introduction</w:t>
      </w:r>
    </w:p>
    <w:p>
      <w:pPr>
        <w:pStyle w:val="Heading2"/>
        <w:spacing w:after="110" w:before="260"/>
      </w:pPr>
      <w:r>
        <w:rPr>
          <w:rFonts w:ascii="Calibri" w:cs="Calibri" w:eastAsia="Calibri" w:hAnsi="Calibri"/>
          <w:b/>
          <w:bCs/>
          <w:color w:val="2E75B6"/>
          <w:sz w:val="25"/>
          <w:szCs w:val="25"/>
        </w:rPr>
        <w:t xml:space="preserve">1.1 Purpose and relationship to SRS v1.0</w:t>
      </w:r>
    </w:p>
    <w:p>
      <w:pPr>
        <w:spacing w:after="120" w:line="276"/>
      </w:pPr>
      <w:r>
        <w:rPr>
          <w:rFonts w:ascii="Calibri" w:cs="Calibri" w:eastAsia="Calibri" w:hAnsi="Calibri"/>
          <w:b w:val="false"/>
          <w:bCs w:val="false"/>
          <w:i w:val="false"/>
          <w:iCs w:val="false"/>
          <w:color w:val="262626"/>
          <w:sz w:val="21"/>
          <w:szCs w:val="21"/>
        </w:rPr>
        <w:t xml:space="preserve">This document specifies the functional and non-functional requirements for TADQEEQ version 2.0, the platform expansion defined in BRD v2.0. It adds approximately 240 functional requirements across 31 modules, covering full-stack test coverage, quality lifecycle management, applied intelligence, enterprise governance and platform capabilities.</w:t>
      </w:r>
    </w:p>
    <w:p>
      <w:pPr>
        <w:spacing w:after="120" w:line="276"/>
      </w:pPr>
      <w:r>
        <w:rPr>
          <w:rFonts w:ascii="Calibri" w:cs="Calibri" w:eastAsia="Calibri" w:hAnsi="Calibri"/>
          <w:b w:val="false"/>
          <w:bCs w:val="false"/>
          <w:i w:val="false"/>
          <w:iCs w:val="false"/>
          <w:color w:val="262626"/>
          <w:sz w:val="21"/>
          <w:szCs w:val="21"/>
        </w:rPr>
        <w:t xml:space="preserve">SRS v1.0 remains in force. Its requirements — FR-USR, FR-PRJ, FR-REQ, FR-DSC, FR-GEN, FR-REV, FR-EXE, FR-TRC and FR-RPT, together with NFR-PERF through NFR-COM — are not restated. Where v2 extends a v1 module, the new requirements continue that module’s numbering from where v1 stopped and the extension is stated explicitly. Where v2 introduces a new module, a new prefix is used.</w:t>
      </w:r>
    </w:p>
    <w:p>
      <w:pPr>
        <w:spacing w:after="120" w:line="276"/>
      </w:pPr>
      <w:r>
        <w:rPr>
          <w:rFonts w:ascii="Calibri" w:cs="Calibri" w:eastAsia="Calibri" w:hAnsi="Calibri"/>
          <w:b/>
          <w:bCs/>
          <w:i w:val="false"/>
          <w:iCs w:val="false"/>
          <w:color w:val="262626"/>
          <w:sz w:val="21"/>
          <w:szCs w:val="21"/>
        </w:rPr>
        <w:t xml:space="preserve">Nothing in this document may weaken a v1 requirement. In particular, FR-GEN-06 (grounding validation), FR-USR-04 (tenant isolation) and NFR-REL-04 (zero fabricated identifiers) apply unchanged to every artefact v2 introduces, including user-interface locators, defect descriptions, root-cause hypotheses and copilot answers.</w:t>
      </w:r>
    </w:p>
    <w:p>
      <w:pPr>
        <w:pStyle w:val="Heading2"/>
        <w:spacing w:after="110" w:before="260"/>
      </w:pPr>
      <w:r>
        <w:rPr>
          <w:rFonts w:ascii="Calibri" w:cs="Calibri" w:eastAsia="Calibri" w:hAnsi="Calibri"/>
          <w:b/>
          <w:bCs/>
          <w:color w:val="2E75B6"/>
          <w:sz w:val="25"/>
          <w:szCs w:val="25"/>
        </w:rPr>
        <w:t xml:space="preserve">1.2 Module map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71"/>
        <w:gridCol w:w="2674"/>
        <w:gridCol w:w="1471"/>
        <w:gridCol w:w="3744"/>
      </w:tblGrid>
      <w:tr>
        <w:trPr>
          <w:tblHeader/>
        </w:trPr>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Prefix</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Module</w:t>
            </w:r>
          </w:p>
        </w:tc>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Status</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Scope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Requirements ingestion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Extended</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Live sources, change impact, requirement hierarchy.</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FR-DSC</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Specification discovery</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Extended</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Inventory completeness scoring, multi-spec projects.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Traffic-based discovery</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Endpoint inventory from observed traffic.</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Protocol support</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GraphQL, SOAP, gRPC.</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UI functional testing</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Web UI discovery, generation, execution.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Self-healing locators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Locator repair and review.</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Visual regression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Baseline capture and comparison.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RTL and localisation</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Direction, translation and format validation.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Accessibility</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Automated WCAG auditing.</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Mobile testing</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Native and hybrid applications.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Execution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Extended</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Grid, matrix, retries, parallelism.</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Flakiness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Detection, quarantine, remediation.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cycles</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Planning, assignment, progress.</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Releases and gates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Release object and criteria evaluation.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Defect management</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Creation, lifecycle, synchronisation.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data</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Datasets, synthesis, masking.</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Service virtualisation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Dependency simulation.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Environment management</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Health, ownership, booking.</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Evidence packs</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Compliance bundle generation.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QA Copilot</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Grounded conversational assistance.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Autonomous agents</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Exploratory and maintenance agents.</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Root cause analysis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Failure correlation and hypotheses.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 and impact</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Change impact, selection, prediction.</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Analytics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Portfolio and executive reporting.</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Identity and access</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SSO, SCIM, custom roles.</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Governance</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Tenancy, templates, audit, retention.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Internationalisation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Arabic parity across the platform.</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Public API</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API, SDKs, webhooks, events.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CI/CD</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Pipeline integration and quality gate.</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Integrations</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Issue trackers, source control, chat.</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Extensions</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Marketplace and extension runtime.</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Deployment</w:t>
            </w:r>
          </w:p>
        </w:tc>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On-premise, air-gapped, multi-region.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Migration</w:t>
            </w:r>
          </w:p>
        </w:tc>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New</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Import tooling and v1 compatibility.</w:t>
            </w:r>
          </w:p>
        </w:tc>
      </w:tr>
    </w:tbl>
    <w:p>
      <w:pPr>
        <w:pStyle w:val="Heading2"/>
        <w:spacing w:after="110" w:before="260"/>
      </w:pPr>
      <w:r>
        <w:rPr>
          <w:rFonts w:ascii="Calibri" w:cs="Calibri" w:eastAsia="Calibri" w:hAnsi="Calibri"/>
          <w:b/>
          <w:bCs/>
          <w:color w:val="2E75B6"/>
          <w:sz w:val="25"/>
          <w:szCs w:val="25"/>
        </w:rPr>
        <w:t xml:space="preserve">1.3 Conventions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"Shall" is mandatory; "should" is desirable and may be deferred within its train; "may" is optional.</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BR column cites the parent business requirement in BRD v2.0, or a v1 business requirement where the module extends v1.</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Train column indicates the release train from BRD v2.0 section 15 in which the requirement is delivered.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v2 non-functional requirements are numbered from 200 within their existing category, to avoid collision with v1.</w:t>
      </w:r>
    </w:p>
    <w:p>
      <w:pPr>
        <w:pStyle w:val="Heading1"/>
        <w:pageBreakBefore/>
        <w:spacing w:after="160" w:before="360"/>
      </w:pPr>
      <w:r>
        <w:rPr>
          <w:rFonts w:ascii="Calibri" w:cs="Calibri" w:eastAsia="Calibri" w:hAnsi="Calibri"/>
          <w:b/>
          <w:bCs/>
          <w:color w:val="1F4E79"/>
          <w:sz w:val="30"/>
          <w:szCs w:val="30"/>
        </w:rPr>
        <w:t xml:space="preserve">2. Overall Description</w:t>
      </w:r>
    </w:p>
    <w:p>
      <w:pPr>
        <w:pStyle w:val="Heading2"/>
        <w:spacing w:after="110" w:before="260"/>
      </w:pPr>
      <w:r>
        <w:rPr>
          <w:rFonts w:ascii="Calibri" w:cs="Calibri" w:eastAsia="Calibri" w:hAnsi="Calibri"/>
          <w:b/>
          <w:bCs/>
          <w:color w:val="2E75B6"/>
          <w:sz w:val="25"/>
          <w:szCs w:val="25"/>
        </w:rPr>
        <w:t xml:space="preserve">2.1 Product perspective in v2</w:t>
      </w:r>
    </w:p>
    <w:p>
      <w:pPr>
        <w:spacing w:after="120" w:line="276"/>
      </w:pPr>
      <w:r>
        <w:rPr>
          <w:rFonts w:ascii="Calibri" w:cs="Calibri" w:eastAsia="Calibri" w:hAnsi="Calibri"/>
          <w:b w:val="false"/>
          <w:bCs w:val="false"/>
          <w:i w:val="false"/>
          <w:iCs w:val="false"/>
          <w:color w:val="262626"/>
          <w:sz w:val="21"/>
          <w:szCs w:val="21"/>
        </w:rPr>
        <w:t xml:space="preserve">v1 was a single web application with an execution worker. v2 is a platform: a set of domain services around a shared object graph, an execution fabric spanning browsers, devices and protocols, an intelligence layer, and an integration surface reaching into the customer’s issue tracker, source control, identity provider and delivery pipeline.</w:t>
      </w:r>
    </w:p>
    <w:p>
      <w:pPr>
        <w:spacing w:after="120" w:line="276"/>
      </w:pPr>
      <w:r>
        <w:rPr>
          <w:rFonts w:ascii="Calibri" w:cs="Calibri" w:eastAsia="Calibri" w:hAnsi="Calibri"/>
          <w:b w:val="false"/>
          <w:bCs w:val="false"/>
          <w:i w:val="false"/>
          <w:iCs w:val="false"/>
          <w:color w:val="262626"/>
          <w:sz w:val="21"/>
          <w:szCs w:val="21"/>
        </w:rPr>
        <w:t xml:space="preserve">The consequence for requirements is that many v2 capabilities are defined by what they must not do as much as by what they do. Autonomy, self-healing and conversational answering all introduce ways for the system to be confidently wrong; the requirements below constrain those failure modes explicitly.</w:t>
      </w:r>
    </w:p>
    <w:p>
      <w:pPr>
        <w:pStyle w:val="Heading2"/>
        <w:spacing w:after="110" w:before="260"/>
      </w:pPr>
      <w:r>
        <w:rPr>
          <w:rFonts w:ascii="Calibri" w:cs="Calibri" w:eastAsia="Calibri" w:hAnsi="Calibri"/>
          <w:b/>
          <w:bCs/>
          <w:color w:val="2E75B6"/>
          <w:sz w:val="25"/>
          <w:szCs w:val="25"/>
        </w:rPr>
        <w:t xml:space="preserve">2.2 New and changed user classes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2407"/>
        <w:gridCol w:w="4680"/>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User class</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Status</w:t>
            </w:r>
          </w:p>
        </w:tc>
        <w:tc>
          <w:tcPr>
            <w:tcW w:type="dxa" w:w="468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Primary needs in v2</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Engineer</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Extended</w:t>
            </w:r>
          </w:p>
        </w:tc>
        <w:tc>
          <w:tcPr>
            <w:tcW w:type="dxa" w:w="46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UI and mobile authoring, review of healed locators and agent proposals, defect raising, cycle execution.</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QA Lead</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Extended</w:t>
            </w:r>
          </w:p>
        </w:tc>
        <w:tc>
          <w:tcPr>
            <w:tcW w:type="dxa" w:w="46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Cycle planning and assignment, release gates, coverage governance, agent oversight.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Developer / Tech Lead</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Extended</w:t>
            </w:r>
          </w:p>
        </w:tc>
        <w:tc>
          <w:tcPr>
            <w:tcW w:type="dxa" w:w="46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Pipeline gate results, risk-selected runs, root cause detail, API and CLI access.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Head of Quality</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w:t>
            </w:r>
          </w:p>
        </w:tc>
        <w:tc>
          <w:tcPr>
            <w:tcW w:type="dxa" w:w="46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Portfolio dashboards, executive scorecard, cross-project standards, evidence packs.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Release Manager</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w:t>
            </w:r>
          </w:p>
        </w:tc>
        <w:tc>
          <w:tcPr>
            <w:tcW w:type="dxa" w:w="46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definition, gate criteria, sign-off, evidence pack generation.</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Compliance / Auditor</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w:t>
            </w:r>
          </w:p>
        </w:tc>
        <w:tc>
          <w:tcPr>
            <w:tcW w:type="dxa" w:w="46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Read-only access to audit trails, approvals and evidence, with independent export.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Organisation Administrator</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Extended</w:t>
            </w:r>
          </w:p>
        </w:tc>
        <w:tc>
          <w:tcPr>
            <w:tcW w:type="dxa" w:w="46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SSO and SCIM configuration, custom roles, retention policy, sub-organisations, model routing policy.</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Platform / DevOps Engineer</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w:t>
            </w:r>
          </w:p>
        </w:tc>
        <w:tc>
          <w:tcPr>
            <w:tcW w:type="dxa" w:w="468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CLI, webhooks, self-hosted grid, on-premise operation.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Partner Delivery Manager</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New</w:t>
            </w:r>
          </w:p>
        </w:tc>
        <w:tc>
          <w:tcPr>
            <w:tcW w:type="dxa" w:w="468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Multi-client portfolio, per-client isolation, standardised templates.</w:t>
            </w:r>
          </w:p>
        </w:tc>
      </w:tr>
    </w:tbl>
    <w:p>
      <w:pPr>
        <w:pStyle w:val="Heading2"/>
        <w:spacing w:after="110" w:before="260"/>
      </w:pPr>
      <w:r>
        <w:rPr>
          <w:rFonts w:ascii="Calibri" w:cs="Calibri" w:eastAsia="Calibri" w:hAnsi="Calibri"/>
          <w:b/>
          <w:bCs/>
          <w:color w:val="2E75B6"/>
          <w:sz w:val="25"/>
          <w:szCs w:val="25"/>
        </w:rPr>
        <w:t xml:space="preserve">2.3 New constraints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71"/>
        <w:gridCol w:w="4279"/>
        <w:gridCol w:w="3610"/>
      </w:tblGrid>
      <w:tr>
        <w:trPr>
          <w:tblHeader/>
        </w:trPr>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427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Constraint</w:t>
            </w:r>
          </w:p>
        </w:tc>
        <w:tc>
          <w:tcPr>
            <w:tcW w:type="dxa" w:w="36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Origin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CON-201</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autonomous action may modify an approved artefact without human approval.</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BR-228.</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CON-202</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conversational answer may assert a fact not traceable to a stored artefact.</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BR-221.</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CON-203</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self-healing repair may change how an element is located but never what is asserted about it.</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BRD v2 section 9.2.</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CON-204</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v2 capability, including the intelligence layer, must function in an air-gapped deployment with a locally hosted model.</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BR-245.</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CON-205</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 data and public API contracts must continue to function unchanged across the v2 transition.</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BR-248.</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CON-206</w:t>
            </w:r>
          </w:p>
        </w:tc>
        <w:tc>
          <w:tcPr>
            <w:tcW w:type="dxa" w:w="427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against production environments is prohibited unless explicitly enabled per environment, with destructive operations allow-listed.</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BRD v2 R-212.</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CON-207</w:t>
            </w:r>
          </w:p>
        </w:tc>
        <w:tc>
          <w:tcPr>
            <w:tcW w:type="dxa" w:w="427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Personal data in test datasets must be masked by default; unmasked use requires explicit, audited exemption.</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BR-214, PDPL.</w:t>
            </w:r>
          </w:p>
        </w:tc>
      </w:tr>
    </w:tbl>
    <w:p>
      <w:pPr>
        <w:pStyle w:val="Heading1"/>
        <w:pageBreakBefore/>
        <w:spacing w:after="160" w:before="360"/>
      </w:pPr>
      <w:r>
        <w:rPr>
          <w:rFonts w:ascii="Calibri" w:cs="Calibri" w:eastAsia="Calibri" w:hAnsi="Calibri"/>
          <w:b/>
          <w:bCs/>
          <w:color w:val="1F4E79"/>
          <w:sz w:val="30"/>
          <w:szCs w:val="30"/>
        </w:rPr>
        <w:t xml:space="preserve">3. Principal Use Cases — Version 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85"/>
        <w:gridCol w:w="2962"/>
        <w:gridCol w:w="1896"/>
        <w:gridCol w:w="3317"/>
      </w:tblGrid>
      <w:tr>
        <w:trPr>
          <w:tblHeader/>
        </w:trPr>
        <w:tc>
          <w:tcPr>
            <w:tcW w:type="dxa" w:w="118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296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Use case</w:t>
            </w:r>
          </w:p>
        </w:tc>
        <w:tc>
          <w:tcPr>
            <w:tcW w:type="dxa" w:w="189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Actor</w:t>
            </w:r>
          </w:p>
        </w:tc>
        <w:tc>
          <w:tcPr>
            <w:tcW w:type="dxa" w:w="331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Outcome</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UC-201</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Cover a requirement end to end across API and UI</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Engineer</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One requirement carries both API and UI test cases, executed in one cycle, reported in one coverage figure.</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UC-202</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Onboard a project with no API specification</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Engineer</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Traffic is observed during a guided session; an endpoint inventory is produced and confirmed; generation proceeds normally.</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UC-203</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Absorb a user-interface redesign without rewriting tests</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Engineer</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Healed locators are proposed with evidence; the reviewer accepts in bulk; the suite passes again.</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UC-204</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Gate a pull request on quality</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Developer</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pipeline calls TADQEEQ, a risk-selected subset runs, and the gate passes or blocks with a linked report.</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UC-205</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Plan and run a release test cycle</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Lead</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cycle is scoped, assigned and tracked; the release gate evaluates its exit criteria automatically.</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UC-206</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Triage a failed nightly run</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Engineer</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Failures are grouped, flaky tests are quarantined, root causes are proposed, and defects are raised with evidence attached.</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UC-207</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Answer an executive question about quality</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Head of Quality</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portfolio dashboard and scorecard answer it without asking any team lead.</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UC-208</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Produce release sign-off evidence for an auditor</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Release Manager</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 evidence pack is generated containing requirements, coverage, results, approvals, defects and audit trail.</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UC-209</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Validate an Arabic interface release</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Engineer</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RTL, translation and format checks run across the screen set and report findings against requirements.</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UC-210</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Ask the platform a question about coverage</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Lead</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copilot answers with citations to the underlying requirements, tests and runs.</w:t>
            </w:r>
          </w:p>
        </w:tc>
      </w:tr>
      <w:tr>
        <w:tc>
          <w:tcPr>
            <w:tcW w:type="dxa" w:w="118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UC-211</w:t>
            </w:r>
          </w:p>
        </w:tc>
        <w:tc>
          <w:tcPr>
            <w:tcW w:type="dxa" w:w="296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Discover defects nobody specified</w:t>
            </w:r>
          </w:p>
        </w:tc>
        <w:tc>
          <w:tcPr>
            <w:tcW w:type="dxa" w:w="189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QA Lead</w:t>
            </w:r>
          </w:p>
        </w:tc>
        <w:tc>
          <w:tcPr>
            <w:tcW w:type="dxa" w:w="331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exploratory agent reports unhandled states with reproduction steps, proposed as draft cases for review.</w:t>
            </w:r>
          </w:p>
        </w:tc>
      </w:tr>
      <w:tr>
        <w:tc>
          <w:tcPr>
            <w:tcW w:type="dxa" w:w="118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UC-212</w:t>
            </w:r>
          </w:p>
        </w:tc>
        <w:tc>
          <w:tcPr>
            <w:tcW w:type="dxa" w:w="296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Operate the platform inside a closed network</w:t>
            </w:r>
          </w:p>
        </w:tc>
        <w:tc>
          <w:tcPr>
            <w:tcW w:type="dxa" w:w="189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Platform Engineer</w:t>
            </w:r>
          </w:p>
        </w:tc>
        <w:tc>
          <w:tcPr>
            <w:tcW w:type="dxa" w:w="331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Installation completes air-gapped; all capabilities including generation and copilot function on a local model.</w:t>
            </w:r>
          </w:p>
        </w:tc>
      </w:tr>
    </w:tbl>
    <w:p>
      <w:pPr>
        <w:pStyle w:val="Heading1"/>
        <w:pageBreakBefore/>
        <w:spacing w:after="160" w:before="360"/>
      </w:pPr>
      <w:r>
        <w:rPr>
          <w:rFonts w:ascii="Calibri" w:cs="Calibri" w:eastAsia="Calibri" w:hAnsi="Calibri"/>
          <w:b/>
          <w:bCs/>
          <w:color w:val="1F4E79"/>
          <w:sz w:val="30"/>
          <w:szCs w:val="30"/>
        </w:rPr>
        <w:t xml:space="preserve">4. Functional Requirements — Coverage (Pillar P1)</w:t>
      </w:r>
    </w:p>
    <w:p>
      <w:pPr>
        <w:pStyle w:val="Heading2"/>
        <w:spacing w:after="110" w:before="260"/>
      </w:pPr>
      <w:r>
        <w:rPr>
          <w:rFonts w:ascii="Calibri" w:cs="Calibri" w:eastAsia="Calibri" w:hAnsi="Calibri"/>
          <w:b/>
          <w:bCs/>
          <w:color w:val="2E75B6"/>
          <w:sz w:val="25"/>
          <w:szCs w:val="25"/>
        </w:rPr>
        <w:t xml:space="preserve">4.1 Requirements ingestion — extensions (FR-REQ)</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connect to live requirement sources — Jira, Azure DevOps and Confluence — and import requirements on a scheduled or on-demand basis.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changes in a connected live source and apply the same versioning and staleness rules as for uploaded documents.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requirement hierarchy of epic, feature and requirement, and shall roll coverage up through that hierarchy.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requirements to be tagged with module, component and business domain, and shall support filtering and reporting by these dimensions.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link a requirement to the source-code paths that implement it, either manually or by inference from historical change and defect data.</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a change impact view for any requirement modification: affected test cases, affected code paths, and open defects.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import of requirements from an existing traceability spreadsheet with column mapping and validation.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FR-REQ-18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duplicate and contradictory requirements within a project and report them for review.</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4.2 Specification discovery — extensions (FR-DSC)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FR-DSC-08</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multiple API specifications within one project, each with its own inventory, and shall present them as a unified surface.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FR-DSC-09</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compute and display an inventory completeness score indicating what proportion of operations carry schemas, constraints and examples, and shall explain the consequences for generation quality.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FR-DSC-10</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merge a specification-derived inventory with a traffic-derived inventory, reconciling conflicts and reporting operations found in one but not the other.</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4.3 Traffic-based API discovery (FR-TRF)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capture HTTP traffic between a client and a system under test through a recording proxy, under explicit user initiation.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accept an uploaded HAR file as an alternative traffic source.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browser-driven capture, in which a guided session drives the application and records the resulting requests automatically.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infer, from observed traffic, the endpoint set, path parameterisation, query and header parameters, request and response body schemas, and status codes observed.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generalise concrete observed paths into parameterised templates, and shall present the inference for user confirmation rather than applying it silently.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mark every traffic-derived element with its observation count and confidence, and shall distinguish inferred structure from specified structure throughout the interface.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 BR-09</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and redact credentials, tokens and personal data in captured traffic before persistence, and shall never store an unredacted capture.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BR-12, CON-207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the user to exclude hosts, paths and content types from capture before a session begins.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FR-TRF-09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permit generation from a traffic-derived inventory under the same grounding rules as a specification-derived inventory, treating observed structure as the authoritative surface.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BR-09, BR-203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4.4 Protocol support (FR-PRT)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GraphQL, discovering the schema by introspection and generating query and mutation tests grounded in it.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SOAP, discovering operations from WSDL and generating envelope-based tests with XML assertions.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gRPC, discovering services from protobuf definitions or reflection.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apply the same grounding, generation and traceability rules to every supported protocol.</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BR-09</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FR-PRT-05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assertions appropriate to each protocol, including XPath for SOAP and field-path assertions for GraphQL and gRPC.</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bl>
    <w:p>
      <w:pPr>
        <w:pStyle w:val="Heading2"/>
        <w:spacing w:after="110" w:before="260"/>
      </w:pPr>
      <w:r>
        <w:rPr>
          <w:rFonts w:ascii="Calibri" w:cs="Calibri" w:eastAsia="Calibri" w:hAnsi="Calibri"/>
          <w:b/>
          <w:bCs/>
          <w:color w:val="2E75B6"/>
          <w:sz w:val="25"/>
          <w:szCs w:val="25"/>
        </w:rPr>
        <w:t xml:space="preserve">4.5 UI functional testing (FR-UIT)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discover the structure of a web application by crawling from a starting URL under authentication, producing an inventory of screens, navigable routes, interactive elements, forms and client-side validation rules.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the discovered screen inventory for user review, allowing screens and elements to be excluded from generation.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UI test cases grounded strictly in the discovered inventory: no generated step may reference a screen, element or route absent from it.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BR-09</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link every generated UI test case to at least one requirement, on the same basis as API test cases.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BR-04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apply equivalence partitioning and boundary value analysis to form inputs, deriving classes and boundaries from discovered client-side validation rules and, where available, the corresponding API schema.</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a resilient locator strategy per element, capturing multiple independent signals — test identifier, accessible role and name, text content, structural path and visual position — rather than a single selector.</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execute UI test cases in a managed browser environment, supporting navigation, input, selection, upload, drag, keyboard interaction and waiting on conditions.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UI assertions on element presence and absence, text content, attribute and property values, element state, URL, and network activity resulting from an interaction.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execute a configurable matrix of browsers and viewport sizes, and shall report results per matrix cell.</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BR-209</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FR-UIT-10</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capture, for every UI step, a screenshot, the DOM state, the console log and the network log, and shall record a video of any failed test case.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BR-11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FR-UIT-11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correlate UI steps with the API calls they trigger, so that a UI failure can be attributed to a backend cause where applicable.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FR-UIT-12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reusable UI components — login, navigation, common flows — referenced by multiple test cases and maintained in one place.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4.6 Self-healing locators (FR-SLF)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When a locator fails to resolve, the system shall attempt to identify the intended element using the remaining captured signals, scored by agreement.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repair a locator only when the confidence score exceeds a configurable threshold; below it, the step shall fail and be reported as a locator failure rather than healed.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 R-203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repair shall change only how an element is located, never what is asserted about it.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CON-203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repair shall be recorded with the original locator, the replacement, the signals that agreed, the confidence score, and a before-and-after screenshot.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 BR-228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healed locators in a review queue for confirmation, and shall allow a repair to be reverted individually or in bulk.</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 BR-06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test case that passed only because of an unconfirmed repair shall be visually distinguished from one that passed unaided, in both the interface and the run report.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systematic change — a repair pattern repeating across many test cases — and propose a single bulk repair rather than many individual ones.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FR-SLF-08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report a healing rate per project and per run, and shall raise an alert when it exceeds a configured threshold, since heavy healing indicates the discovered inventory is stale.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4.7 Visual regression (FR-VIS)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capture visual baselines per screen, per browser and per viewport, and shall version them.</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compare a captured rendering against its baseline using a perceptual comparison tolerant of anti-aliasing and sub-pixel variation.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excluded regions for dynamic content such as timestamps, adverts and user-specific data.</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visual differences side by side with an overlay highlighting changed regions.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 difference to be accepted as a new baseline, recording who accepted it and when.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 BR-14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link visual findings to requirements so that visual coverage appears in the traceability matrix.</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 BR-08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FR-VIS-07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layout-level change — element displacement, overlap and overflow — separately from pixel-level change, and report the two distinctly.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BR-204, 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4.8 RTL and localisation validation (FR-RTL)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render a screen in each configured locale and direction and validate correctness per locale.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layout mirroring failures in right-to-left rendering: elements, icons, navigation and progress indicators that did not mirror when they should, or mirrored when they should not.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text truncation, overflow and clipping introduced by translated content length.</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untranslated strings, missing translation keys and placeholder text remaining in a localised build.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validate numeral system, date, time, currency and calendar formatting against the locale, including Hijri date handling where configured.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mixed-direction rendering defects where Latin content appears within Arabic text or the reverse.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validate that input fields accept, store and redisplay Arabic text correctly, including at boundary lengths.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FR-RTL-08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report localisation findings against requirements and shall include them in the coverage matrix and evidence pack.</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 BR-217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4.9 Accessibility (FR-ACC)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run automated accessibility checks against each discovered screen, configurable to WCAG 2.1 or 2.2 at Level A, AA or AAA.</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report each finding with its rule, severity, affected element, and remediation guidance.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suppression of a finding with a recorded justification and an expiry date.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trend accessibility findings across runs and report regression.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permit accessibility criteria to be used in a release gate.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 BR-211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FR-ACC-06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state clearly which WCAG criteria cannot be verified automatically and require manual assessment, rather than implying full conformance coverage.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4.10 Mobile testing (FR-MOB)</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test native and hybrid applications on Android and iOS, on virtual devices and on physical devices in a connected farm.</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discover the screen and element structure of a mobile application by guided exploration under authentication.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mobile test cases grounded in the discovered inventory and linked to requirements.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 BR-09</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mobile-specific interactions: tap, swipe, pinch, scroll, device rotation, background and foreground transitions, and permission dialogues.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device conditions relevant to testing: network throttling, offline state, and locale and direction switching.</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 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capture screenshots, video, device logs and network traffic for mobile runs.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FR-MOB-07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apply RTL and localisation validation to mobile screens on the same basis as web screens.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BR-205, BR-207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bl>
    <w:p>
      <w:pPr>
        <w:pStyle w:val="Heading2"/>
        <w:spacing w:after="110" w:before="260"/>
      </w:pPr>
      <w:r>
        <w:rPr>
          <w:rFonts w:ascii="Calibri" w:cs="Calibri" w:eastAsia="Calibri" w:hAnsi="Calibri"/>
          <w:b/>
          <w:bCs/>
          <w:color w:val="2E75B6"/>
          <w:sz w:val="25"/>
          <w:szCs w:val="25"/>
        </w:rPr>
        <w:t xml:space="preserve">4.11 Execution — extensions (FR-EXE)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FR-EXE-20</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execute UI and mobile tests in parallel across a managed execution grid, with a configurable concurrency limit per environment and per organisation.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BR-201, BR-209</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FR-EXE-21</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browser and viewport matrix per cycle, executing the selected cases across every configured combination.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BR-209</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FR-EXE-22</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configurable retry policy for failed cases, and shall record every attempt, distinguishing a case that passed on retry from one that passed first time.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FR-EXE-23</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ordered dependencies between test cases within a cycle, and shall skip dependants when a prerequisite fails, reporting them as skipped rather than failed.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FR-EXE-24</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connection to a customer-hosted execution grid instead of the platform-managed grid.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FR-EXE-25</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block execution against an environment marked as production unless production execution is explicitly enabled for that environment, and shall block destructive operations unless individually allow-listed.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CON-206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FR-EXE-26</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report execution cost per run in terms of browser minutes, device minutes and inference consumption, attributed to project and organisation.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1"/>
        <w:pageBreakBefore/>
        <w:spacing w:after="160" w:before="360"/>
      </w:pPr>
      <w:r>
        <w:rPr>
          <w:rFonts w:ascii="Calibri" w:cs="Calibri" w:eastAsia="Calibri" w:hAnsi="Calibri"/>
          <w:b/>
          <w:bCs/>
          <w:color w:val="1F4E79"/>
          <w:sz w:val="30"/>
          <w:szCs w:val="30"/>
        </w:rPr>
        <w:t xml:space="preserve">5. Functional Requirements — Quality Lifecycle (Pillar P2)</w:t>
      </w:r>
    </w:p>
    <w:p>
      <w:pPr>
        <w:pStyle w:val="Heading2"/>
        <w:spacing w:after="110" w:before="260"/>
      </w:pPr>
      <w:r>
        <w:rPr>
          <w:rFonts w:ascii="Calibri" w:cs="Calibri" w:eastAsia="Calibri" w:hAnsi="Calibri"/>
          <w:b/>
          <w:bCs/>
          <w:color w:val="2E75B6"/>
          <w:sz w:val="25"/>
          <w:szCs w:val="25"/>
        </w:rPr>
        <w:t xml:space="preserve">5.1 Test cycles (FR-CYC)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creation of a test cycle with a name, objective, scope of test cases, target environment, schedule and owner.</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cycle scope to be defined by explicit selection, by filter, by linked requirement set, or by risk-based selection.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 BR-226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assignment of test cases within a cycle to individual users, and shall present each user a personal work queue.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manual test execution within a cycle, capturing step-by-step results, evidence attachments and notes, alongside automated execution.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cycle progress: executed, passed, failed, blocked, skipped and remaining, by assignee and by requirement.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cycle states of planned, active, completed and cancelled, with results retained on completion.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an approval step on a cycle, requiring a configured approver to sign off before the cycle is marked complete.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FR-CYC-08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cloning a cycle, carrying forward scope and configuration but not results.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5.2 Releases and quality gates (FR-REL)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release object with a version, target date, scope of requirements, and associated test cycles.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configurable entry and exit criteria for a release, expressed over coverage percentage, pass rate, open defect counts by severity, accessibility findings, flaky test count and approval status.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evaluate release criteria continuously and present a live readiness status with the specific criteria not yet met.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prevent a release from being marked ready while any mandatory criterion is unmet, and shall permit an override only with a recorded justification and an authorised approver.</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BR-211, BR-218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multi-party release sign-off with configured approvers, recording each approval with actor, timestamp and comment.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BR-218, BR-14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a release comparison showing what changed in scope, coverage, defects and risk relative to the previous release.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FR-REL-07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an evidence pack automatically on release completion.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5.3 Defect management (FR-DEF)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 defect to be created directly from a failed test result, with the requirement, test case, steps, request and response, screenshots, video, logs and environment attached automatically.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defect fields for title, description, severity, priority, status, assignee, affected requirement, affected environment and reproduction steps.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probable duplicate defects at creation time by comparing failure signature, requirement and message, and shall offer to link rather than create.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for any requirement, all defects raised against it, and for any defect, the requirements and test cases it affects.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BR-212, BR-08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synchronise defects bi-directionally with Jira, Xray and Azure DevOps, including status transitions, comments, assignee and attachments.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field and status mapping between platform and external tracker to be configured per project.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and surface synchronisation conflicts rather than silently overwriting either side.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re-run the originating test case when a linked defect is marked resolved, and shall report verification status on the defect.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FR-DEF-09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compute defect metrics — density by requirement and module, mean time to resolution, reopen rate and escape rate — for use in analytics.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5.4 Test data management (FR-DAT)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named, versioned datasets at project scope, referenced by test cases through variables.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synthetic test data conforming to the constraints of a discovered request schema, including type, format, range, length, pattern and enumeration.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locale-appropriate synthetic data, including Arabic names, Saudi national identifier formats, addresses and telephone number formats.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 BR-205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mask personal data in any imported dataset by default, applying consistent, referentially intact substitution so that relationships between records survive masking.</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 CON-207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require an explicit, recorded and time-bounded exemption before any unmasked personal data may be stored or used.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CON-207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data setup and cleanup hooks at cycle level as well as at test case level.</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when a test failure was caused by missing or stale test data rather than by a product defect, and shall classify it accordingly.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FR-DAT-08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data-driven test cases, executing one case across each row of a dataset and reporting per-row results.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5.5 Service virtualisation (FR-SVC)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record real interactions with a dependency and replay them as a virtual service.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 virtual service to be defined manually from a specification, with configurable responses per request pattern.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simulate dependency failure conditions: latency, timeout, error status codes and malformed responses.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an environment to route selected dependencies to virtual services while others remain real.</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FR-SVC-05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redact credentials and personal data when recording a dependency interaction.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CON-207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bl>
    <w:p>
      <w:pPr>
        <w:pStyle w:val="Heading2"/>
        <w:spacing w:after="110" w:before="260"/>
      </w:pPr>
      <w:r>
        <w:rPr>
          <w:rFonts w:ascii="Calibri" w:cs="Calibri" w:eastAsia="Calibri" w:hAnsi="Calibri"/>
          <w:b/>
          <w:bCs/>
          <w:color w:val="2E75B6"/>
          <w:sz w:val="25"/>
          <w:szCs w:val="25"/>
        </w:rPr>
        <w:t xml:space="preserve">5.6 Environment management (FR-ENV)</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record for each environment its owner, purpose, deployed version and current health status.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perform scheduled health checks and shall present environment availability history.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booking an environment for a cycle, showing conflicts with other bookings.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annotate every run with the environment version deployed at execution time.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 BR-224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FR-ENV-05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warn before executing a cycle against an environment that is unhealthy or whose deployed version differs from the release under test.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5.7 Compliance evidence packs (FR-EVD)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an evidence pack for a release or cycle containing the requirement set and versions, the test cases and their approvals, execution results with evidence, defects raised and their status, approvals with actors and timestamps, and the relevant audit trail.</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evidence pack shall be exportable as a PDF document and as a structured archive suitable for independent retention.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include a cryptographic checksum for the pack and for each contained artefact, so that tampering after export is detectable.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BR-217, BR-235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evidence pack shall render correctly in Arabic when the project language is Arabic.</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evidence pack contents and layout to be configured per organisation to match an internal audit template.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FR-EVD-06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retain generated evidence packs subject to the organisation’s retention policy and legal hold settings.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1"/>
        <w:pageBreakBefore/>
        <w:spacing w:after="160" w:before="360"/>
      </w:pPr>
      <w:r>
        <w:rPr>
          <w:rFonts w:ascii="Calibri" w:cs="Calibri" w:eastAsia="Calibri" w:hAnsi="Calibri"/>
          <w:b/>
          <w:bCs/>
          <w:color w:val="1F4E79"/>
          <w:sz w:val="30"/>
          <w:szCs w:val="30"/>
        </w:rPr>
        <w:t xml:space="preserve">6. Functional Requirements — Applied Intelligence (Pillar P3)</w:t>
      </w:r>
    </w:p>
    <w:p>
      <w:pPr>
        <w:pStyle w:val="Heading2"/>
        <w:spacing w:after="110" w:before="260"/>
      </w:pPr>
      <w:r>
        <w:rPr>
          <w:rFonts w:ascii="Calibri" w:cs="Calibri" w:eastAsia="Calibri" w:hAnsi="Calibri"/>
          <w:b/>
          <w:bCs/>
          <w:color w:val="2E75B6"/>
          <w:sz w:val="25"/>
          <w:szCs w:val="25"/>
        </w:rPr>
        <w:t xml:space="preserve">6.1 QA Copilot (FR-CPL)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conversational interface answering questions about a project’s requirements, tests, runs, defects, coverage and releases.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shall retrieve only data the asking user is authorised to see, enforced at the query layer rather than by prompt instruction.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BR-12, BR-221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factual assertion in a copilot answer shall cite the specific artefacts it derives from, presented as navigable links.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Where the retrieved context does not support an answer, the copilot shall state that it does not have the information, and shall not produce an inferred answer.</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shall answer in the language of the question, supporting Arabic and English equally.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shall be able to draft artefacts on request — a test case, a defect description, a cycle scope — which enter the normal review queue as drafts and are never created directly.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BR-06, BR-228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copilot shall be able to explain a specific failure by assembling its evidence, related failures and recent environment or requirement changes.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No copilot output shall be an input to an automated gate, selection or approval decision.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R-204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FR-CPL-09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log every copilot exchange with the retrieved context identifiers, for audit and for quality evaluation.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BR-228, BR-235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6.2 Autonomous agents (FR-AGT)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an exploratory agent that navigates an application within a configured boundary of hosts, paths and permitted actions.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exploratory agent shall identify states, transitions and inputs not exercised by any existing test case.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exploratory agent shall report anomalies it encounters — unhandled errors, broken navigation, console exceptions, failed requests, unresponsive interactions — with reproduction steps and evidence.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exploratory agent shall propose new test cases for unexercised states, submitted as drafts to the review queue.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BR-222, BR-06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exploratory agent shall operate within a configured time and action budget and shall report what it did not reach.</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exploratory agent shall not perform destructive operations unless individually allow-listed for the environment.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CON-206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maintenance agent that identifies test cases failing because of legitimate application change rather than defect.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maintenance agent shall propose repairs to affected test cases, showing what changed and why the change is believed legitimate.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maintenance agent shall identify test cases invalidated by a requirement change and propose updates aligned to the new requirement text.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BR-223, BR-10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FR-AGT-10</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maintenance agent shall identify obsolete test cases — those whose requirement was removed or whose target no longer exists — and propose archiving.</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FR-AGT-11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agent action shall be recorded with the agent identity, the trigger, the inputs considered, the action taken and its outcome.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FR-AGT-12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No agent shall modify an approved artefact. Every agent output is a proposal entering human review, and every applied proposal shall be individually reversible.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BR-228, CON-201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6.3 Root cause analysis (FR-RCA)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group failures within a run by shared failure signature, affected endpoint or screen, and error message.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correlate failures with recent changes: code commits, environment deployments, requirement modifications and configuration changes.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propose ranked probable causes for a failure group, each with the evidence supporting it.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classify each failure as product defect, test defect, environment problem, data problem or flakiness, and shall state its confidence.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proposed cause shall never be presented as established fact, and shall never automatically close or reclassify a result without human confirmation.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FR-RCA-06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learn from confirmed and rejected classifications to improve subsequent proposals, and shall report classification accuracy over time.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6.4 Flakiness (FR-FLK)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detect flaky tests statistically, from inconsistent outcomes across runs where neither the application version nor the environment changed.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assign each test case a stability score and present its outcome history.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quarantine a test whose stability falls below a configurable threshold, excluding it from gating decisions while continuing to execute and report it.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notify the test owner on quarantine and shall track remediation to closure.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propose probable flakiness causes — timing dependence, data dependence, ordering dependence, environment instability — with supporting evidence.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 BR-224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FR-FLK-06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report the total quarantined population per project and shall alert when it exceeds a configured share of the suite, since a large quarantine silently erodes coverage.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6.5 Risk and change impact (FR-RSK)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connect to a source control repository and retrieve change sets for a commit, branch or pull request.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determine which requirements and test cases are affected by a change set, using code-to-requirement links, historical defect and change correlation, and observed execution coverage.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select a minimal test subset for a change set, according to a configurable risk appetite, and shall report the estimated residual risk of the omitted set.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always include, in any selected subset, tests linked to requirements marked critical, regardless of computed impact.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 R-205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retain a scheduled full-suite execution independent of selection, and shall report any regression the selection missed.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R-205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publish selection accuracy — regressions caught by the full run but missed by selection — as a visible, per-organisation metric.</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BO-205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compute a risk score per requirement from change frequency, defect history, coverage depth and business priority.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a risk heat map across requirements and modules, and shall allow cycle scope to be defined from it.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FR-RSK-09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indicate requirements and modules with elevated predicted defect likelihood, stating the factors driving the prediction rather than presenting a bare score.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1"/>
        <w:pageBreakBefore/>
        <w:spacing w:after="160" w:before="360"/>
      </w:pPr>
      <w:r>
        <w:rPr>
          <w:rFonts w:ascii="Calibri" w:cs="Calibri" w:eastAsia="Calibri" w:hAnsi="Calibri"/>
          <w:b/>
          <w:bCs/>
          <w:color w:val="1F4E79"/>
          <w:sz w:val="30"/>
          <w:szCs w:val="30"/>
        </w:rPr>
        <w:t xml:space="preserve">7. Functional Requirements — Governance and Analytics (Pillar P4)</w:t>
      </w:r>
    </w:p>
    <w:p>
      <w:pPr>
        <w:pStyle w:val="Heading2"/>
        <w:spacing w:after="110" w:before="260"/>
      </w:pPr>
      <w:r>
        <w:rPr>
          <w:rFonts w:ascii="Calibri" w:cs="Calibri" w:eastAsia="Calibri" w:hAnsi="Calibri"/>
          <w:b/>
          <w:bCs/>
          <w:color w:val="2E75B6"/>
          <w:sz w:val="25"/>
          <w:szCs w:val="25"/>
        </w:rPr>
        <w:t xml:space="preserve">7.1 Analytics and reporting (FR-ANL)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a portfolio dashboard covering every project in an organisation, with coverage, pass rate, open defects, risk and release readiness per project.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drill-down from portfolio to project to requirement to test case to result without losing filter context.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trend every headline metric over configurable periods and shall highlight material change.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saved views and scheduled delivery of a dashboard by email.</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comparison across projects, teams and releases on a consistent metric basis.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produce an executive quality scorecard presenting coverage, defect density, escape rate, cycle time, automation share and risk, per project and consolidated.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the scorecard to be exported as a presentation-ready document in Arabic or English.</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BR-231, 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quality forecasting for a release: projected readiness date based on current burn-down and defect discovery rate, stated with its assumptions.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FR-ANL-09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define every metric in an accessible glossary within the product, so that two teams reporting the same figure computed it the same way.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7.2 Identity and access (FR-IAM)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single sign-on via SAML 2.0 and OpenID Connect.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automated user provisioning and de-provisioning via SCIM 2.0.</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mapping identity provider groups to platform roles and project memberships.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BR-232, BR-233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enforced multi-factor authentication for local accounts where SSO is not used.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session policy configuration per organisation, including maximum lifetime and idle timeout.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immediately revoke access on de-provisioning, including active sessions and issued API keys.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custom roles composed from a granular permission set, beyond the four fixed roles of v1.</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project-scoped role assignment, so that a user may hold different roles in different projects.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read-only auditor role with access to results, approvals, audit trails and evidence, and no ability to modify any artefact.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FR-IAM-10</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scoped, expiring API keys and service accounts with least-privilege permission sets.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7.3 Governance and tenancy (FR-GOV)</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sub-organisations within a parent organisation, each with isolated projects, users and data.</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prevent any cross-sub-organisation data access, enforced at the query layer.</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BR-234, BR-12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permit consolidated reporting across sub-organisations for users explicitly granted parent-level access.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per-sub-organisation configuration of retention, model routing and integration settings.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transfer of a project between sub-organisations with a full audit record.</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reusable project templates defining default configuration, roles, cycle structure, gate criteria and evidence pack layout.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an organisation to mark selected template settings as mandatory, preventing project-level override.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configurable approval workflows for test plans, cycle completion, release gates and baseline acceptance.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an immutable, append-only audit trail of every material action, including agent and automated actions.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 BR-228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FR-GOV-10</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configurable retention policies per data category, with automatic deletion on expiry.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FR-GOV-11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legal hold, suspending deletion for specified projects or releases.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FR-GOV-12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complete export of an organisation’s data in a documented, machine-readable format.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FR-GOV-13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allow an organisation administrator to configure model routing policy, including a mode in which no content is sent to any external inference provider.</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 CON-204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bl>
    <w:p>
      <w:pPr>
        <w:pStyle w:val="Heading2"/>
        <w:spacing w:after="110" w:before="260"/>
      </w:pPr>
      <w:r>
        <w:rPr>
          <w:rFonts w:ascii="Calibri" w:cs="Calibri" w:eastAsia="Calibri" w:hAnsi="Calibri"/>
          <w:b/>
          <w:bCs/>
          <w:color w:val="2E75B6"/>
          <w:sz w:val="25"/>
          <w:szCs w:val="25"/>
        </w:rPr>
        <w:t xml:space="preserve">7.4 Internationalisation (FR-I18N)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platform interface shall be fully available in Arabic with correct right-to-left layout across every screen, including dashboards, tables, forms and charts.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test case content, step descriptions and expected results in the project language.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generate defect titles and descriptions in the project language.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export — matrix, run report, scorecard, evidence pack — shall render correctly in Arabic, including tables, headers, page numbering and mixed-direction content.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 BR-217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per-user language preference independent of project language.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both Gregorian and Hijri date display, configurable per organisation.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FR-I18N-07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search across Arabic content with appropriate normalisation of orthographic variants.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BR-237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1"/>
        <w:pageBreakBefore/>
        <w:spacing w:after="160" w:before="360"/>
      </w:pPr>
      <w:r>
        <w:rPr>
          <w:rFonts w:ascii="Calibri" w:cs="Calibri" w:eastAsia="Calibri" w:hAnsi="Calibri"/>
          <w:b/>
          <w:bCs/>
          <w:color w:val="1F4E79"/>
          <w:sz w:val="30"/>
          <w:szCs w:val="30"/>
        </w:rPr>
        <w:t xml:space="preserve">8. Functional Requirements — Platform and Ecosystem (Pillar P5)</w:t>
      </w:r>
    </w:p>
    <w:p>
      <w:pPr>
        <w:pStyle w:val="Heading2"/>
        <w:spacing w:after="110" w:before="260"/>
      </w:pPr>
      <w:r>
        <w:rPr>
          <w:rFonts w:ascii="Calibri" w:cs="Calibri" w:eastAsia="Calibri" w:hAnsi="Calibri"/>
          <w:b/>
          <w:bCs/>
          <w:color w:val="2E75B6"/>
          <w:sz w:val="25"/>
          <w:szCs w:val="25"/>
        </w:rPr>
        <w:t xml:space="preserve">8.1 Public API, SDKs and events (FR-API)</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expose a versioned public REST API covering every capability available in the user interface.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publish its own OpenAPI specification, kept in step with the implementation automatically.</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enforce the same permission model as the interface, with no privileged path.</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 BR-12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apply per-key rate limiting and shall return limit state in response headers.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support pagination, filtering, sorting and field selection consistently across all collection endpoints.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maintain backward compatibility within a major version, with a published deprecation policy and a minimum twelve-month notice.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API shall support idempotency keys on all state-changing operations.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BR-240</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official client SDKs for at least Python, TypeScript and Java.</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FR-API-09</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command-line interface supporting project configuration, run initiation, result retrieval and gate evaluation.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FR-API-10</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emit webhooks for defined events including run completion, gate evaluation, defect creation, quarantine and release readiness change.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FR-API-11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Webhook deliveries shall be signed, retried with backoff, and inspectable in a delivery log.</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FR-API-12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subscribable event stream for organisations requiring continuous integration with their own data platform.</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8.2 CI/CD integration (FR-CIC)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native integrations for GitHub Actions, GitLab CI, Jenkins and Azure Pipelines.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triggering a run from a pipeline and returning a pass or fail result suitable for gating.</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configurable quality gate evaluated in the pipeline, expressed over pass rate, coverage of changed requirements, new defect count by severity and accessibility findings.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BR-242, BR-211</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risk-based selection driven by the pipeline’s change set.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post results back to the originating pull request as a status check and a summary comment linking to the full report.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exclude quarantined flaky tests from gate decisions while still reporting their outcome.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a configurable maximum pipeline duration, returning partial results with an explicit incompleteness indication rather than blocking indefinitely.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FR-CIC-08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ephemeral environment registration, so that a pipeline can create an environment, test against it and discard it.</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8.3 Integrations (FR-INT)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Jira and Jira with Xray for requirement import, defect synchronisation and test result publication.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Azure DevOps for work items, test plans and pipelines.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GitHub, GitLab, Bitbucket and Azure Repos for change sets, pull request status and code-to-requirement linkage.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BR-226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Slack and Microsoft Teams for run, gate, quarantine and release notifications, with per-channel routing rules.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BR-243</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integration health, including last successful synchronisation, error state and pending conflicts.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BR-213</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integrate with Confluence for requirement source documents.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BR-01</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FR-INT-07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All integration credentials shall be stored encrypted and shall never be returned by any API or displayed after entry.</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BR-12</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8.4 Extensions (FR-EXT)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installable extensions providing custom assertions, report types, integrations and data generators.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Extensions shall execute in an isolated runtime with no access to platform internals, secrets, or tenant data beyond an explicitly granted scope.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 BR-12</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Extensions shall declare required permissions at installation, requiring administrator approval.</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 marketplace for discovering, installing and updating extensions, with review and versioning.</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private organisation-scoped extensions not published to the marketplace.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FR-EXT-06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enforce resource limits on extension execution and shall disable an extension that exceeds them, without affecting the run.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8.5 Deployment (FR-DEP)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be distributable as a supported on-premise package with documented installation, upgrade and rollback procedures.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on-premise package shall support an air-gapped configuration with no outbound network requirement, including for model inference.</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 CON-204</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on-premise package shall include a self-hosted execution grid for browser and, where applicable, device execution.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an offline licence mechanism not requiring network validation.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provide administrative tooling for backup, restore, health monitoring and log collection in customer-operated deployments.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publish and enforce a documented feature-parity statement between hosted and on-premise deployments, and shall state explicitly any capability that differs.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BR-245</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hosted service shall support multiple deployment regions with per-organisation data residency selection, including an in-Kingdom region.</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BR-246</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FR-DEP-08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guarantee that data for an organisation with a declared residency never leaves its region, including backups, logs and inference traffic.</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BR-246</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8.6 Migration and compatibility (FR-MIG)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10"/>
        <w:gridCol w:w="5898"/>
        <w:gridCol w:w="1154"/>
        <w:gridCol w:w="898"/>
      </w:tblGrid>
      <w:tr>
        <w:trPr>
          <w:tblHeader/>
        </w:trPr>
        <w:tc>
          <w:tcPr>
            <w:tcW w:type="dxa" w:w="14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5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1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BR</w:t>
            </w:r>
          </w:p>
        </w:tc>
        <w:tc>
          <w:tcPr>
            <w:tcW w:type="dxa" w:w="89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FR-MIG-01</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import test cases, executions and requirement links from TestRail, Zephyr, Xray and Azure Test Plans.</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FR-MIG-02</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present a migration preview with a mapping report and unmappable items listed explicitly before any data is written.</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FR-MIG-03</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import existing automated test suites in common frameworks as referenced external tests, executable and reportable within a cycle even though not generated by the platform.</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FR-MIG-04</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linking imported test cases to requirements in bulk, with assisted matching for review.</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FR-MIG-05</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retain the original external identifier of every imported artefact.</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BR-247</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FR-MIG-06</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All v1 data shall remain accessible and functional after the v2 upgrade with no user action required.</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FR-MIG-07</w:t>
            </w:r>
          </w:p>
        </w:tc>
        <w:tc>
          <w:tcPr>
            <w:tcW w:type="dxa" w:w="5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All v1 public API contracts shall continue to function unchanged for a minimum of twelve months following the v2 release.</w:t>
            </w:r>
          </w:p>
        </w:tc>
        <w:tc>
          <w:tcPr>
            <w:tcW w:type="dxa" w:w="11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BR-248</w:t>
            </w:r>
          </w:p>
        </w:tc>
        <w:tc>
          <w:tcPr>
            <w:tcW w:type="dxa" w:w="89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4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FR-MIG-08</w:t>
            </w:r>
          </w:p>
        </w:tc>
        <w:tc>
          <w:tcPr>
            <w:tcW w:type="dxa" w:w="5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v2 capabilities shall be adoptable incrementally: an organisation continuing to use only v1 workflows shall experience no forced change to those workflows.</w:t>
            </w:r>
          </w:p>
        </w:tc>
        <w:tc>
          <w:tcPr>
            <w:tcW w:type="dxa" w:w="11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BR-248</w:t>
            </w:r>
          </w:p>
        </w:tc>
        <w:tc>
          <w:tcPr>
            <w:tcW w:type="dxa" w:w="89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1"/>
        <w:pageBreakBefore/>
        <w:spacing w:after="160" w:before="360"/>
      </w:pPr>
      <w:r>
        <w:rPr>
          <w:rFonts w:ascii="Calibri" w:cs="Calibri" w:eastAsia="Calibri" w:hAnsi="Calibri"/>
          <w:b/>
          <w:bCs/>
          <w:color w:val="1F4E79"/>
          <w:sz w:val="30"/>
          <w:szCs w:val="30"/>
        </w:rPr>
        <w:t xml:space="preserve">9. Non-Functional Requirements — Version 2</w:t>
      </w:r>
    </w:p>
    <w:p>
      <w:pPr>
        <w:spacing w:after="120" w:line="276"/>
      </w:pPr>
      <w:r>
        <w:rPr>
          <w:rFonts w:ascii="Calibri" w:cs="Calibri" w:eastAsia="Calibri" w:hAnsi="Calibri"/>
          <w:b w:val="false"/>
          <w:bCs w:val="false"/>
          <w:i w:val="false"/>
          <w:iCs w:val="false"/>
          <w:color w:val="262626"/>
          <w:sz w:val="21"/>
          <w:szCs w:val="21"/>
        </w:rPr>
        <w:t xml:space="preserve">v1 non-functional requirements remain in force. The following are added or tightened for v2. Numbering starts at 200 within each category.</w:t>
      </w:r>
    </w:p>
    <w:p>
      <w:pPr>
        <w:pStyle w:val="Heading2"/>
        <w:spacing w:after="110" w:before="260"/>
      </w:pPr>
      <w:r>
        <w:rPr>
          <w:rFonts w:ascii="Calibri" w:cs="Calibri" w:eastAsia="Calibri" w:hAnsi="Calibri"/>
          <w:b/>
          <w:bCs/>
          <w:color w:val="2E75B6"/>
          <w:sz w:val="25"/>
          <w:szCs w:val="25"/>
        </w:rPr>
        <w:t xml:space="preserve">9.1 Performance (NFR-PERF)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UI application discovery shall complete within 20 minutes for an application of up to 100 screens at the 90th percentile.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UI test case of up to 20 steps shall execute within 3 minutes at the 90th percentile against a responsive environment.</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execute at least 500 UI test cases within 30 minutes at default grid concurrency.</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Locator healing shall add no more than 5 seconds to a step at the 95th percentile.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copilot answer shall begin streaming within 3 seconds and complete within 15 seconds at the 90th percentile.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NFR-PERF-206</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Risk-based selection shall return a selected subset within 30 seconds for a change set of up to 500 files.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NFR-PERF-207</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portfolio dashboard shall render within 3 seconds for an organisation of up to 100 projects.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NFR-PERF-208</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 evidence pack shall generate within 5 minutes for a release of up to 1,000 requirements and 10,000 results.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NFR-PERF-209</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Visual comparison shall complete within 10 seconds per screen per matrix cell.</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9.2 Scalability (NFR-SCA)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NFR-SCA-201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platform shall support at least 500 organisations, 10,000 users and 500 concurrent runs without architectural change.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NFR-SCA-202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 organisation shall support at least 200 projects with consolidated reporting.</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NFR-SCA-203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project shall support at least 10,000 requirements, 100,000 test cases and two years of run history within stated performance limits.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NFR-SCA-204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execution grid shall scale elastically with demand, and shall degrade by queuing rather than by failing when capacity is exhausted.</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NFR-SCA-205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Analytics queries shall not degrade transactional performance; reporting workloads shall be served from a separate read path.</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9.3 Reliability and correctness (NFR-REL)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Monthly availability of the hosted service shall be at least 99.9% for the core platform.</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Failure of the execution grid shall not affect the availability of planning, reporting or analytics.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Failure of the intelligence layer shall degrade copilot, agents and risk selection only; all deterministic capabilities shall remain available.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Failure of an integration shall not block platform operation; synchronisation shall queue and resume.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run interrupted by infrastructure failure shall be resumable without re-executing completed cases.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NFR-REL-206</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Point-in-time recovery shall be possible to within 1 hour.</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NFR-REL-207</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self-healing false-repair rate — repairs binding to an unintended element — shall not exceed 0.5% of repairs, measured against a labelled evaluation set.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NFR-REL-208</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Risk-based selection shall miss no more than 2% of regressions that the scheduled full run detects.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NFR-REL-209</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Root cause classification accuracy shall be measured continuously against confirmed outcomes and reported to the customer.</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NFR-REL-210</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proportion of copilot answers containing an assertion not supported by a cited artefact shall be zero, verified by an automated evaluation suite that is a release gate.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NFR-REL-211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v1 grounding invariant shall extend unchanged to every v2 artefact type: UI locators, mobile locators, defect content and agent proposals.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2"/>
        <w:spacing w:after="110" w:before="260"/>
      </w:pPr>
      <w:r>
        <w:rPr>
          <w:rFonts w:ascii="Calibri" w:cs="Calibri" w:eastAsia="Calibri" w:hAnsi="Calibri"/>
          <w:b/>
          <w:bCs/>
          <w:color w:val="2E75B6"/>
          <w:sz w:val="25"/>
          <w:szCs w:val="25"/>
        </w:rPr>
        <w:t xml:space="preserve">9.4 Security (NFR-SEC)</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All v1 security requirements shall apply to every new module and data type introduced in v2.</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Captured traffic, screenshots, videos, DOM snapshots and device logs shall be scanned and redacted for credentials and personal data before persistence.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Visual and video evidence shall support configurable masking of designated screen regions before storage.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Extension code shall execute in an isolated sandbox with no filesystem, network or tenant-data access beyond an explicitly granted scope.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Sub-organisation isolation shall be enforced at the query layer and verified by an automated cross-tenant test suite that is a release gate.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NFR-SEC-206</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All integration and identity provider credentials shall be encrypted with per-organisation keys and shall never be retrievable through any interface.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NFR-SEC-207</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Agent and copilot actions shall execute under the permissions of the initiating user, never under elevated system permissions.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NFR-SEC-208</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a software bill of materials and shall scan dependencies and container images continuously, with a documented policy for critical findings.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NFR-SEC-209</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support customer-managed encryption keys for on-premise and enterprise hosted deployments.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NFR-SEC-210</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undergo independent penetration testing at least annually, with findings tracked to closure.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NFR-SEC-215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autonomous action shall be attributable to an agent identity, recorded immutably, and reversible; no agent shall hold a permission its initiating user does not hold.</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9.5 Usability and accessibility (NFR-USE)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platform interface shall meet WCAG 2.1 Level AA for all core workflows.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Arabic right-to-left layout shall be correct across every screen, including data tables, dashboards, charts and modal dialogues.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 new user shall be able to produce a first UI test suite from an application URL within 30 minutes without assistance.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automated proposal — a healed locator, an agent-suggested case, a root cause hypothesis — shall be presented with its supporting evidence and its confidence, never as a bare recommendation.</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NFR-USE-205</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Review queues shall support keyboard-driven operation and bulk actions, since review volume grows substantially in v2.</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NFR-USE-206</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interface shall clearly distinguish deterministic results from probabilistic assessments, so that a user is never misled about the confidence of a statement.</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bl>
    <w:p>
      <w:pPr>
        <w:pStyle w:val="Heading2"/>
        <w:spacing w:after="110" w:before="260"/>
      </w:pPr>
      <w:r>
        <w:rPr>
          <w:rFonts w:ascii="Calibri" w:cs="Calibri" w:eastAsia="Calibri" w:hAnsi="Calibri"/>
          <w:b/>
          <w:bCs/>
          <w:color w:val="2E75B6"/>
          <w:sz w:val="25"/>
          <w:szCs w:val="25"/>
        </w:rPr>
        <w:t xml:space="preserve">9.6 Portability and compliance (NFR-POR, NFR-COM)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NFR-POR-210</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v2 capability, including UI execution, agents and copilot, shall function in an on-premise deployment.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NFR-POR-211</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v2 capability shall function in an air-gapped deployment with a locally hosted model, with any degradation documented explicitly.</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NFR-POR-212</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on-premise deployment shall be installable by a competent systems administrator following documentation alone, without vendor access to the environment.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NFR-POR-213</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Upgrades shall be applicable to on-premise deployments without data loss and with a supported rollback path.</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2.2</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NFR-POR-214</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No third-party service dependency shall be introduced that lacks a self-hostable equivalent.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NFR-COM-201</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a current control mapping to ISO/IEC 27001 and to the NCA Essential Cybersecurity Controls.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NFR-COM-202</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a documented data processing inventory covering every category of customer data, its location, retention and any third-party recipient.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NFR-COM-210</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Data residency, once declared for an organisation, shall be enforced technically across storage, backup, logging and inference paths.</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2.3</w:t>
            </w:r>
          </w:p>
        </w:tc>
      </w:tr>
    </w:tbl>
    <w:p>
      <w:pPr>
        <w:pStyle w:val="Heading2"/>
        <w:spacing w:after="110" w:before="260"/>
      </w:pPr>
      <w:r>
        <w:rPr>
          <w:rFonts w:ascii="Calibri" w:cs="Calibri" w:eastAsia="Calibri" w:hAnsi="Calibri"/>
          <w:b/>
          <w:bCs/>
          <w:color w:val="2E75B6"/>
          <w:sz w:val="25"/>
          <w:szCs w:val="25"/>
        </w:rPr>
        <w:t xml:space="preserve">9.7 Maintainability and observability (NFR-MNT)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6592"/>
        <w:gridCol w:w="1054"/>
      </w:tblGrid>
      <w:tr>
        <w:trPr>
          <w:tblHeader/>
        </w:trPr>
        <w:tc>
          <w:tcPr>
            <w:tcW w:type="dxa" w:w="17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ID</w:t>
            </w:r>
          </w:p>
        </w:tc>
        <w:tc>
          <w:tcPr>
            <w:tcW w:type="dxa" w:w="659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Requirement</w:t>
            </w:r>
          </w:p>
        </w:tc>
        <w:tc>
          <w:tcPr>
            <w:tcW w:type="dxa" w:w="10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Train</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NFR-MNT-201</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Every service shall emit structured logs, traces and metrics with a correlation identifier propagated across service boundaries.</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NFR-MNT-202</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meter and attribute inference consumption and execution capacity per organisation, project and feature.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NFR-MNT-203</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Model prompts, evaluation sets and healing thresholds shall be versioned artefacts under source control, with the version recorded on every produced artefact.</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r>
        <w:tc>
          <w:tcPr>
            <w:tcW w:type="dxa" w:w="17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NFR-MNT-204</w:t>
            </w:r>
          </w:p>
        </w:tc>
        <w:tc>
          <w:tcPr>
            <w:tcW w:type="dxa" w:w="659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The system shall maintain automated evaluation suites for generation quality, healing accuracy, copilot grounding, risk selection accuracy and root cause classification; each is a release gate for its feature.</w:t>
            </w:r>
          </w:p>
        </w:tc>
        <w:tc>
          <w:tcPr>
            <w:tcW w:type="dxa" w:w="10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2.1</w:t>
            </w:r>
          </w:p>
        </w:tc>
      </w:tr>
      <w:tr>
        <w:tc>
          <w:tcPr>
            <w:tcW w:type="dxa" w:w="1714"/>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NFR-MNT-210</w:t>
            </w:r>
          </w:p>
        </w:tc>
        <w:tc>
          <w:tcPr>
            <w:tcW w:type="dxa" w:w="659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Backward compatibility of v1 data and API contracts shall be verified by an automated compatibility suite that is a release gate for every v2 release.</w:t>
            </w:r>
          </w:p>
        </w:tc>
        <w:tc>
          <w:tcPr>
            <w:tcW w:type="dxa" w:w="10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2.0</w:t>
            </w:r>
          </w:p>
        </w:tc>
      </w:tr>
    </w:tbl>
    <w:p>
      <w:pPr>
        <w:pStyle w:val="Heading1"/>
        <w:pageBreakBefore/>
        <w:spacing w:after="160" w:before="360"/>
      </w:pPr>
      <w:r>
        <w:rPr>
          <w:rFonts w:ascii="Calibri" w:cs="Calibri" w:eastAsia="Calibri" w:hAnsi="Calibri"/>
          <w:b/>
          <w:bCs/>
          <w:color w:val="1F4E79"/>
          <w:sz w:val="30"/>
          <w:szCs w:val="30"/>
        </w:rPr>
        <w:t xml:space="preserve">10. Data Model Additions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3744"/>
        <w:gridCol w:w="3209"/>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Entity</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Key attributes</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7"/>
                <w:szCs w:val="17"/>
              </w:rPr>
              <w:t xml:space="preserve">Relationships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Screen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route, title, discovered_at, inventory_version, excluded</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UiInventory; has many UiElements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UiElement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role, accessible name, test id, text, structural path, bounding box, signal set</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Screen; referenced by TestStep</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LocatorRepair</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original, replacement, signals agreed, confidence, screenshots, state, reviewer</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TestStep and Run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VisualBaseline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screen, browser, viewport, image reference, version, accepted_by</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LocalisationFinding</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locale, type, element, severity, evidence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Run; links to Requirement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AccessibilityFinding</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rule, level, severity, element, suppression, expiry</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Run; links to Requirement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TrafficCapture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source, session, redaction status, observation counts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 produces Endpoints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TestCycle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name, objective, scope definition, environment, schedule, owner, state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 has many CycleItems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CycleItem</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case, assignee, state, latest result</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TestCycle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Release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version, target date, scope, criteria, readiness state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 has many TestCycles, Approvals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GateCriterion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metric, operator, threshold, mandatory flag</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Release or PipelineGate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Defect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title, description, severity, priority, state, external ref, signature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links to Requirement, TestCase, TestResult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Dataset</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name, version, masked flag, exemption ref, schema</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VirtualService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dependency, mode, response rules, recording ref</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Environment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EvidencePack</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release, generated_at, checksum, storage ref, retention state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AgentAction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agent id, trigger, inputs ref, action, outcome, reversal ref</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Organisation; links to affected artefacts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CopilotExchange</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question, answer, cited artefact ids, retrieved context ids, model, prompt version</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 and User</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ChangeSet</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repository, commit range, files, mapped requirements, risk score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FlakinessRecord</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test case, stability score, outcome history, quarantine state, cause hypothesis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Project</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SubOrganisation</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name, parent, isolation policy, settings</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Organisation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7"/>
                <w:szCs w:val="17"/>
              </w:rPr>
              <w:t xml:space="preserve">Extension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name, version, permissions, scope, state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7"/>
                <w:szCs w:val="17"/>
              </w:rPr>
              <w:t xml:space="preserve">belongs to Organisation</w:t>
            </w:r>
          </w:p>
        </w:tc>
      </w:tr>
    </w:tbl>
    <w:p>
      <w:pPr>
        <w:spacing w:after="120" w:line="276"/>
      </w:pPr>
      <w:r>
        <w:rPr>
          <w:rFonts w:ascii="Calibri" w:cs="Calibri" w:eastAsia="Calibri" w:hAnsi="Calibri"/>
          <w:b w:val="false"/>
          <w:bCs w:val="false"/>
          <w:i/>
          <w:iCs/>
          <w:color w:val="262626"/>
          <w:sz w:val="21"/>
          <w:szCs w:val="21"/>
        </w:rPr>
        <w:t xml:space="preserve">Two structural rules carry forward from v1 and govern all of the above: every artefact that verifies something links to a requirement, and every artefact produced by a model or an agent carries its provenance — model, prompt version, confidence and the evidence it was derived from.</w:t>
      </w:r>
    </w:p>
    <w:p>
      <w:pPr>
        <w:pStyle w:val="Heading1"/>
        <w:pageBreakBefore/>
        <w:spacing w:after="160" w:before="360"/>
      </w:pPr>
      <w:r>
        <w:rPr>
          <w:rFonts w:ascii="Calibri" w:cs="Calibri" w:eastAsia="Calibri" w:hAnsi="Calibri"/>
          <w:b/>
          <w:bCs/>
          <w:color w:val="1F4E79"/>
          <w:sz w:val="30"/>
          <w:szCs w:val="30"/>
        </w:rPr>
        <w:t xml:space="preserve">11. Acceptance Criteria — Version 2</w:t>
      </w:r>
    </w:p>
    <w:p>
      <w:pPr>
        <w:spacing w:after="120" w:line="276"/>
      </w:pPr>
      <w:r>
        <w:rPr>
          <w:rFonts w:ascii="Calibri" w:cs="Calibri" w:eastAsia="Calibri" w:hAnsi="Calibri"/>
          <w:b w:val="false"/>
          <w:bCs w:val="false"/>
          <w:i w:val="false"/>
          <w:iCs w:val="false"/>
          <w:color w:val="262626"/>
          <w:sz w:val="21"/>
          <w:szCs w:val="21"/>
        </w:rPr>
        <w:t xml:space="preserve">Each train has its own acceptance set. All criteria are demonstrated on real customer projects, not on reference applications.</w:t>
      </w:r>
    </w:p>
    <w:p>
      <w:pPr>
        <w:pStyle w:val="Heading2"/>
        <w:spacing w:after="110" w:before="260"/>
      </w:pPr>
      <w:r>
        <w:rPr>
          <w:rFonts w:ascii="Calibri" w:cs="Calibri" w:eastAsia="Calibri" w:hAnsi="Calibri"/>
          <w:b/>
          <w:bCs/>
          <w:color w:val="2E75B6"/>
          <w:sz w:val="25"/>
          <w:szCs w:val="25"/>
        </w:rPr>
        <w:t xml:space="preserve">11.1 Train 2.0</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48"/>
        <w:gridCol w:w="5990"/>
        <w:gridCol w:w="2122"/>
      </w:tblGrid>
      <w:tr>
        <w:trPr>
          <w:tblHeader/>
        </w:trPr>
        <w:tc>
          <w:tcPr>
            <w:tcW w:type="dxa" w:w="124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599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Criterion</w:t>
            </w:r>
          </w:p>
        </w:tc>
        <w:tc>
          <w:tcPr>
            <w:tcW w:type="dxa" w:w="212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Method</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AC-201</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web application of at least 30 screens is discovered, and generated UI cases reference no screen or element absent from the inventory.</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grounding check over the persisted set.</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AC-202</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After a deliberate front-end refactor, at least 85% of broken locators are repaired correctly and accepted by a reviewer without modification.</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Controlled experiment on a partner application.</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AC-203</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project with no OpenAPI specification is onboarded through traffic capture and reaches an executed, requirement-linked suite.</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End-to-end demonstration.</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AC-204</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No captured traffic, screenshot or log persisted during acceptance contains an unredacted credential or personal data item.</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scan of stored evidence.</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AC-205</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pipeline gate blocks a pull request that introduces a failure, and passes one that does not, with a linked report in both cases.</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Live pipeline demonstration.</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AC-206</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defect raised from a failure appears in the customer’s Jira with evidence attached, and a status change in Jira is reflected back within the configured interval.</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Live integration test.</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AC-207</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All v1 projects, data and API calls continue to function unchanged after upgrade.</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compatibility suite.</w:t>
            </w:r>
          </w:p>
        </w:tc>
      </w:tr>
    </w:tbl>
    <w:p>
      <w:pPr>
        <w:pStyle w:val="Heading2"/>
        <w:spacing w:after="110" w:before="260"/>
      </w:pPr>
      <w:r>
        <w:rPr>
          <w:rFonts w:ascii="Calibri" w:cs="Calibri" w:eastAsia="Calibri" w:hAnsi="Calibri"/>
          <w:b/>
          <w:bCs/>
          <w:color w:val="2E75B6"/>
          <w:sz w:val="25"/>
          <w:szCs w:val="25"/>
        </w:rPr>
        <w:t xml:space="preserve">11.2 Train 2.1</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48"/>
        <w:gridCol w:w="5990"/>
        <w:gridCol w:w="2122"/>
      </w:tblGrid>
      <w:tr>
        <w:trPr>
          <w:tblHeader/>
        </w:trPr>
        <w:tc>
          <w:tcPr>
            <w:tcW w:type="dxa" w:w="124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599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Criterion</w:t>
            </w:r>
          </w:p>
        </w:tc>
        <w:tc>
          <w:tcPr>
            <w:tcW w:type="dxa" w:w="212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Method</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AC-210</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Across 200 evaluation questions, no copilot answer asserts a fact not supported by a cited artefact, and unanswerable questions are refused explicitly.</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grounding evaluation suite.</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AC-211</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copilot answers Arabic questions about Arabic-language projects at parity with English.</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Bilingual evaluation set scored by a reviewer.</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AC-212</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release gate correctly blocks on unmet criteria and permits an authorised override with a recorded justification.</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Controlled demonstration.</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AC-213</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An evidence pack passes review by a customer internal auditor as sufficient for release sign-off.</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Auditor review with written confirmation.</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AC-214</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Flaky tests are detected, quarantined and excluded from gate decisions without disappearing from reporting.</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Injected instability experiment.</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AC-215</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RTL validation detects a set of deliberately introduced mirroring, truncation and format defects with no more than 10% false positives.</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Seeded-defect experiment on an Arabic application.</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AC-216</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full platform interface, including dashboards and exports, renders correctly in Arabic.</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Inspection by an Arabic-first reviewer.</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AC-217</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portfolio dashboard is presented by a customer to their own leadership without supplementary spreadsheets.</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Customer confirmation.</w:t>
            </w:r>
          </w:p>
        </w:tc>
      </w:tr>
    </w:tbl>
    <w:p>
      <w:pPr>
        <w:pStyle w:val="Heading2"/>
        <w:spacing w:after="110" w:before="260"/>
      </w:pPr>
      <w:r>
        <w:rPr>
          <w:rFonts w:ascii="Calibri" w:cs="Calibri" w:eastAsia="Calibri" w:hAnsi="Calibri"/>
          <w:b/>
          <w:bCs/>
          <w:color w:val="2E75B6"/>
          <w:sz w:val="25"/>
          <w:szCs w:val="25"/>
        </w:rPr>
        <w:t xml:space="preserve">11.3 Trains 2.2 and 2.3</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48"/>
        <w:gridCol w:w="5990"/>
        <w:gridCol w:w="2122"/>
      </w:tblGrid>
      <w:tr>
        <w:trPr>
          <w:tblHeader/>
        </w:trPr>
        <w:tc>
          <w:tcPr>
            <w:tcW w:type="dxa" w:w="124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599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Criterion</w:t>
            </w:r>
          </w:p>
        </w:tc>
        <w:tc>
          <w:tcPr>
            <w:tcW w:type="dxa" w:w="212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Method</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AC-220</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Risk-based selection reduces pipeline execution time by at least 60% while missing under 2% of regressions caught by the scheduled full run.</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Measured over at least 100 real change sets.</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AC-221</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exploratory agent finds at least one genuine defect not covered by any existing test case, in each of three partner applications.</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Partner confirmation of the finding.</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AC-222</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No agent action modifies an approved artefact without human approval, and every applied proposal is reversible.</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Audit of the full agent action log.</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AC-223</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Root cause classification agrees with the engineer’s conclusion in at least 70% of cases.</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Comparison against confirmed outcomes over one month.</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AC-224</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complete on-premise installation is performed by a customer administrator from documentation alone, air-gapped, with all capabilities functional.</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Observed installation.</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AC-225</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Sub-organisation isolation holds across every endpoint and every reporting path.</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Automated cross-tenant suite.</w:t>
            </w:r>
          </w:p>
        </w:tc>
      </w:tr>
      <w:tr>
        <w:tc>
          <w:tcPr>
            <w:tcW w:type="dxa" w:w="1248"/>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AC-226</w:t>
            </w:r>
          </w:p>
        </w:tc>
        <w:tc>
          <w:tcPr>
            <w:tcW w:type="dxa" w:w="599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 migration from an existing test management tool completes with a mapping report and no silent data loss.</w:t>
            </w:r>
          </w:p>
        </w:tc>
        <w:tc>
          <w:tcPr>
            <w:tcW w:type="dxa" w:w="212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Reconciliation against the source system.</w:t>
            </w:r>
          </w:p>
        </w:tc>
      </w:tr>
      <w:tr>
        <w:tc>
          <w:tcPr>
            <w:tcW w:type="dxa" w:w="124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AC-227</w:t>
            </w:r>
          </w:p>
        </w:tc>
        <w:tc>
          <w:tcPr>
            <w:tcW w:type="dxa" w:w="599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Data residency is technically enforced: no storage, backup, log or inference request for a residency-bound organisation leaves its region.</w:t>
            </w:r>
          </w:p>
        </w:tc>
        <w:tc>
          <w:tcPr>
            <w:tcW w:type="dxa" w:w="212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Network and storage audit.</w:t>
            </w:r>
          </w:p>
        </w:tc>
      </w:tr>
    </w:tbl>
    <w:p>
      <w:pPr>
        <w:pStyle w:val="Heading1"/>
        <w:pageBreakBefore/>
        <w:spacing w:after="160" w:before="360"/>
      </w:pPr>
      <w:r>
        <w:rPr>
          <w:rFonts w:ascii="Calibri" w:cs="Calibri" w:eastAsia="Calibri" w:hAnsi="Calibri"/>
          <w:b/>
          <w:bCs/>
          <w:color w:val="1F4E79"/>
          <w:sz w:val="30"/>
          <w:szCs w:val="30"/>
        </w:rPr>
        <w:t xml:space="preserve">12. Out of Scope for Version 2</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Performance, load and stress testing; security and vulnerability scanning. Integrate rather than build.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Desktop, embedded and game application testing.</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Sprint and project management; the platform manages quality work only.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Source code hosting or review; repositories are read for change impact and never owned.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Autonomous remediation of product defects. Agents propose test changes, never product changes.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Unattended action on production systems beyond explicitly enabled, allow-listed, audited operations.</w:t>
      </w:r>
    </w:p>
    <w:p>
      <w:pPr>
        <w:pStyle w:val="Heading1"/>
        <w:pageBreakBefore/>
        <w:spacing w:after="160" w:before="360"/>
      </w:pPr>
      <w:r>
        <w:rPr>
          <w:rFonts w:ascii="Calibri" w:cs="Calibri" w:eastAsia="Calibri" w:hAnsi="Calibri"/>
          <w:b/>
          <w:bCs/>
          <w:color w:val="1F4E79"/>
          <w:sz w:val="30"/>
          <w:szCs w:val="30"/>
        </w:rPr>
        <w:t xml:space="preserve">13. Open Items for Engineering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616"/>
        <w:gridCol w:w="2674"/>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61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Item</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Needed by</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E-201</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locator signal set and the confidence function, and build the labelled evaluation set that measures false-repair rate against NFR-REL-207.</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train 2.0 build.</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E-202</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Determine the traffic capture mechanism — proxy, browser instrumentation or both — and its redaction guarantees.</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2.0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E-203</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copilot retrieval strategy and the automated grounding evaluation that gates NFR-REL-210.</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E-204</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change-impact model: static analysis, historical correlation, execution coverage, or a combination, and how selection accuracy is measured.</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2.2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E-205</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Decide the analytics read path: read replica, materialised views or a separate analytical store, given NFR-SCA-205.</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E-206</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Select the self-hosted model for air-gapped deployment and quantify the capability gap against the hosted configuration, for the NFR-POR-211 disclosure.</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2.2 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E-207</w:t>
            </w:r>
          </w:p>
        </w:tc>
        <w:tc>
          <w:tcPr>
            <w:tcW w:type="dxa" w:w="561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extension sandbox boundary and its resource limits.</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2.3 sprint 1.</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E-208</w:t>
            </w:r>
          </w:p>
        </w:tc>
        <w:tc>
          <w:tcPr>
            <w:tcW w:type="dxa" w:w="561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Define the visual comparison algorithm and default tolerances that keep false positives below the level at which teams begin ignoring results.</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Train 2.1 sprint 1.</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v2.0 — TADQEEQ</dc:title>
  <dc:creator>TADQEEQ Product Team</dc:creator>
  <dc:description>Software Requirements Specification v2.0</dc:description>
  <cp:lastModifiedBy>Un-named</cp:lastModifiedBy>
  <cp:revision>1</cp:revision>
  <dcterms:created xsi:type="dcterms:W3CDTF">2026-07-25T23:10:26.251Z</dcterms:created>
  <dcterms:modified xsi:type="dcterms:W3CDTF">2026-07-25T23:10:26.252Z</dcterms:modified>
</cp:coreProperties>
</file>

<file path=docProps/custom.xml><?xml version="1.0" encoding="utf-8"?>
<Properties xmlns="http://schemas.openxmlformats.org/officeDocument/2006/custom-properties" xmlns:vt="http://schemas.openxmlformats.org/officeDocument/2006/docPropsVTypes"/>
</file>