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p>
    <w:p>
      <w:pPr>
        <w:spacing w:after="100"/>
        <w:jc w:val="center"/>
      </w:pPr>
      <w:r>
        <w:rPr>
          <w:rFonts w:ascii="Calibri" w:cs="Calibri" w:eastAsia="Calibri" w:hAnsi="Calibri"/>
          <w:b/>
          <w:bCs/>
          <w:color w:val="2E75B6"/>
          <w:spacing w:val="60"/>
          <w:sz w:val="26"/>
          <w:szCs w:val="26"/>
        </w:rPr>
        <w:t xml:space="preserve">Technical Requirements Document (TRD)</w:t>
      </w:r>
    </w:p>
    <w:p>
      <w:pPr>
        <w:pBdr>
          <w:bottom w:val="single" w:color="1F4E79" w:sz="12" w:space="12"/>
        </w:pBdr>
        <w:spacing w:after="60"/>
        <w:jc w:val="center"/>
      </w:pPr>
      <w:r>
        <w:rPr>
          <w:rFonts w:ascii="Calibri" w:cs="Calibri" w:eastAsia="Calibri" w:hAnsi="Calibri"/>
          <w:b/>
          <w:bCs/>
          <w:color w:val="1F4E79"/>
          <w:sz w:val="52"/>
          <w:szCs w:val="52"/>
        </w:rPr>
        <w:t xml:space="preserve">TADQEEQ</w:t>
      </w:r>
    </w:p>
    <w:p>
      <w:pPr>
        <w:spacing w:after="900" w:before="260"/>
        <w:jc w:val="center"/>
      </w:pPr>
      <w:r>
        <w:rPr>
          <w:rFonts w:ascii="Calibri" w:cs="Calibri" w:eastAsia="Calibri" w:hAnsi="Calibri"/>
          <w:i/>
          <w:iCs/>
          <w:color w:val="595959"/>
          <w:sz w:val="24"/>
          <w:szCs w:val="24"/>
        </w:rPr>
        <w:t xml:space="preserve">Architecture, components, data model, interfaces and technical controls — MVP release</w:t>
      </w:r>
    </w:p>
    <w:tbl>
      <w:tblPr>
        <w:tblW w:type="dxa" w:w="6500"/>
        <w:tblBorders>
          <w:top w:val="single" w:color="BFBFBF" w:sz="4"/>
          <w:left w:val="single" w:color="BFBFBF" w:sz="4"/>
          <w:bottom w:val="single" w:color="BFBFBF" w:sz="4"/>
          <w:right w:val="single" w:color="BFBFBF" w:sz="4"/>
          <w:insideH w:val="single" w:color="D9D9D9" w:sz="2"/>
          <w:insideV w:val="single" w:color="D9D9D9" w:sz="2"/>
        </w:tblBorders>
      </w:tblPr>
      <w:tblGrid>
        <w:gridCol w:w="2167"/>
        <w:gridCol w:w="4333"/>
      </w:tblGrid>
      <w:tr>
        <w:tc>
          <w:tcPr>
            <w:tcW w:type="dxa" w:w="2167"/>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Document type</w:t>
            </w:r>
          </w:p>
        </w:tc>
        <w:tc>
          <w:tcPr>
            <w:tcW w:type="dxa" w:w="4333"/>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Technical Requirements Document (TRD)</w:t>
            </w:r>
          </w:p>
        </w:tc>
      </w:tr>
      <w:tr>
        <w:tc>
          <w:tcPr>
            <w:tcW w:type="dxa" w:w="216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Product / codename</w:t>
            </w:r>
          </w:p>
        </w:tc>
        <w:tc>
          <w:tcPr>
            <w:tcW w:type="dxa" w:w="4333"/>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TADQEEQ — AI Test Design &amp; Traceability Platform</w:t>
            </w:r>
          </w:p>
        </w:tc>
      </w:tr>
      <w:tr>
        <w:tc>
          <w:tcPr>
            <w:tcW w:type="dxa" w:w="2167"/>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Version</w:t>
            </w:r>
          </w:p>
        </w:tc>
        <w:tc>
          <w:tcPr>
            <w:tcW w:type="dxa" w:w="4333"/>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1.0 (MVP baseline)</w:t>
            </w:r>
          </w:p>
        </w:tc>
      </w:tr>
      <w:tr>
        <w:tc>
          <w:tcPr>
            <w:tcW w:type="dxa" w:w="216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Date</w:t>
            </w:r>
          </w:p>
        </w:tc>
        <w:tc>
          <w:tcPr>
            <w:tcW w:type="dxa" w:w="4333"/>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24 July 2026</w:t>
            </w:r>
          </w:p>
        </w:tc>
      </w:tr>
      <w:tr>
        <w:tc>
          <w:tcPr>
            <w:tcW w:type="dxa" w:w="2167"/>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Author / Owner</w:t>
            </w:r>
          </w:p>
        </w:tc>
        <w:tc>
          <w:tcPr>
            <w:tcW w:type="dxa" w:w="4333"/>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Technical Lead, with Product Owner</w:t>
            </w:r>
          </w:p>
        </w:tc>
      </w:tr>
      <w:tr>
        <w:tc>
          <w:tcPr>
            <w:tcW w:type="dxa" w:w="216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Status</w:t>
            </w:r>
          </w:p>
        </w:tc>
        <w:tc>
          <w:tcPr>
            <w:tcW w:type="dxa" w:w="4333"/>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Draft — pending SRS approval</w:t>
            </w:r>
          </w:p>
        </w:tc>
      </w:tr>
      <w:tr>
        <w:tc>
          <w:tcPr>
            <w:tcW w:type="dxa" w:w="2167"/>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Classification</w:t>
            </w:r>
          </w:p>
        </w:tc>
        <w:tc>
          <w:tcPr>
            <w:tcW w:type="dxa" w:w="4333"/>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Confidential — Internal &amp; Prospective Design Partners</w:t>
            </w:r>
          </w:p>
        </w:tc>
      </w:tr>
    </w:tbl>
    <w:p>
      <w:pPr>
        <w:pStyle w:val="Heading1"/>
        <w:pageBreakBefore/>
        <w:spacing w:after="200"/>
      </w:pPr>
      <w:r>
        <w:rPr>
          <w:rFonts w:ascii="Calibri" w:cs="Calibri" w:eastAsia="Calibri" w:hAnsi="Calibri"/>
          <w:b/>
          <w:bCs/>
          <w:color w:val="1F4E79"/>
          <w:sz w:val="30"/>
          <w:szCs w:val="30"/>
        </w:rPr>
        <w:t xml:space="preserve">Table of Contents</w:t>
      </w:r>
    </w:p>
    <w:sdt>
      <w:sdtPr>
        <w:alias w:val="Right-click and choose &quot;Update Field&quot; to refresh."/>
      </w:sdtPr>
      <w:sdtContent>
        <w:p>
          <w:r>
            <w:fldChar w:fldCharType="begin" w:dirty="true"/>
            <w:instrText xml:space="preserve">TOC \h \o "1-3"</w:instrText>
            <w:fldChar w:fldCharType="separate"/>
          </w:r>
        </w:p>
        <w:p>
          <w:r>
            <w:fldChar w:fldCharType="end"/>
          </w:r>
        </w:p>
      </w:sdtContent>
    </w:sdt>
    <w:p>
      <w:pPr>
        <w:pStyle w:val="Heading1"/>
        <w:pageBreakBefore/>
        <w:spacing w:after="160" w:before="360"/>
      </w:pPr>
      <w:r>
        <w:rPr>
          <w:rFonts w:ascii="Calibri" w:cs="Calibri" w:eastAsia="Calibri" w:hAnsi="Calibri"/>
          <w:b/>
          <w:bCs/>
          <w:color w:val="1F4E79"/>
          <w:sz w:val="30"/>
          <w:szCs w:val="30"/>
        </w:rPr>
        <w:t xml:space="preserve">1. Introduction</w:t>
      </w:r>
    </w:p>
    <w:p>
      <w:pPr>
        <w:pStyle w:val="Heading2"/>
        <w:spacing w:after="110" w:before="260"/>
      </w:pPr>
      <w:r>
        <w:rPr>
          <w:rFonts w:ascii="Calibri" w:cs="Calibri" w:eastAsia="Calibri" w:hAnsi="Calibri"/>
          <w:b/>
          <w:bCs/>
          <w:color w:val="2E75B6"/>
          <w:sz w:val="25"/>
          <w:szCs w:val="25"/>
        </w:rPr>
        <w:t xml:space="preserve">1.1 Purpose</w:t>
      </w:r>
    </w:p>
    <w:p>
      <w:pPr>
        <w:spacing w:after="120" w:line="276"/>
      </w:pPr>
      <w:r>
        <w:rPr>
          <w:rFonts w:ascii="Calibri" w:cs="Calibri" w:eastAsia="Calibri" w:hAnsi="Calibri"/>
          <w:b w:val="false"/>
          <w:bCs w:val="false"/>
          <w:i w:val="false"/>
          <w:iCs w:val="false"/>
          <w:color w:val="262626"/>
          <w:sz w:val="21"/>
          <w:szCs w:val="21"/>
        </w:rPr>
        <w:t xml:space="preserve">This Technical Requirements Document specifies how the TADQEEQ MVP will be built. It translates the functional and non-functional requirements of the SRS into an architecture, a component decomposition, a data model, interface contracts, and the technical controls that make the product trustworthy — in particular the grounding controls that prevent the language model from fabricating test artefacts.</w:t>
      </w:r>
    </w:p>
    <w:p>
      <w:pPr>
        <w:spacing w:after="120" w:line="276"/>
      </w:pPr>
      <w:r>
        <w:rPr>
          <w:rFonts w:ascii="Calibri" w:cs="Calibri" w:eastAsia="Calibri" w:hAnsi="Calibri"/>
          <w:b w:val="false"/>
          <w:bCs w:val="false"/>
          <w:i w:val="false"/>
          <w:iCs w:val="false"/>
          <w:color w:val="262626"/>
          <w:sz w:val="21"/>
          <w:szCs w:val="21"/>
        </w:rPr>
        <w:t xml:space="preserve">It is written for the engineers implementing the system and for a technical reviewer assessing feasibility. Where a decision is deliberately deferred, it is recorded in section 16 rather than left implicit.</w:t>
      </w:r>
    </w:p>
    <w:p>
      <w:pPr>
        <w:pStyle w:val="Heading2"/>
        <w:spacing w:after="110" w:before="260"/>
      </w:pPr>
      <w:r>
        <w:rPr>
          <w:rFonts w:ascii="Calibri" w:cs="Calibri" w:eastAsia="Calibri" w:hAnsi="Calibri"/>
          <w:b/>
          <w:bCs/>
          <w:color w:val="2E75B6"/>
          <w:sz w:val="25"/>
          <w:szCs w:val="25"/>
        </w:rPr>
        <w:t xml:space="preserve">1.2 Guiding technical principles</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2407"/>
        <w:gridCol w:w="6953"/>
      </w:tblGrid>
      <w:tr>
        <w:trPr>
          <w:tblHeader/>
        </w:trPr>
        <w:tc>
          <w:tcPr>
            <w:tcW w:type="dxa" w:w="2407"/>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Principle</w:t>
            </w:r>
          </w:p>
        </w:tc>
        <w:tc>
          <w:tcPr>
            <w:tcW w:type="dxa" w:w="6953"/>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Consequence for the design</w:t>
            </w:r>
          </w:p>
        </w:tc>
      </w:tr>
      <w:tr>
        <w:tc>
          <w:tcPr>
            <w:tcW w:type="dxa" w:w="240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The model proposes, the system verifies</w:t>
            </w:r>
          </w:p>
        </w:tc>
        <w:tc>
          <w:tcPr>
            <w:tcW w:type="dxa" w:w="6953"/>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No language model output reaches persistent storage without schema validation and grounding verification against discovered artefacts. This is the single most important architectural rule in the product (SRS NFR-REL-04).</w:t>
            </w:r>
          </w:p>
        </w:tc>
      </w:tr>
      <w:tr>
        <w:tc>
          <w:tcPr>
            <w:tcW w:type="dxa" w:w="240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Discovery precedes generation</w:t>
            </w:r>
          </w:p>
        </w:tc>
        <w:tc>
          <w:tcPr>
            <w:tcW w:type="dxa" w:w="6953"/>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The endpoint inventory is a prerequisite input, not a hint. A requirement that cannot be mapped to it is reported as unmappable rather than tested speculatively.</w:t>
            </w:r>
          </w:p>
        </w:tc>
      </w:tr>
      <w:tr>
        <w:tc>
          <w:tcPr>
            <w:tcW w:type="dxa" w:w="240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Portability is a first-class constraint</w:t>
            </w:r>
          </w:p>
        </w:tc>
        <w:tc>
          <w:tcPr>
            <w:tcW w:type="dxa" w:w="6953"/>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No managed service is used that lacks a self-hostable equivalent. On-premise capability is preserved from day one even though it ships in v3 (SRS CON-01, NFR-POR-02).</w:t>
            </w:r>
          </w:p>
        </w:tc>
      </w:tr>
      <w:tr>
        <w:tc>
          <w:tcPr>
            <w:tcW w:type="dxa" w:w="240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Provider abstraction</w:t>
            </w:r>
          </w:p>
        </w:tc>
        <w:tc>
          <w:tcPr>
            <w:tcW w:type="dxa" w:w="6953"/>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The language model is behind an interface. Swapping provider — including to a locally hosted model — is a configuration change (SRS CON-02, NFR-POR-04).</w:t>
            </w:r>
          </w:p>
        </w:tc>
      </w:tr>
      <w:tr>
        <w:tc>
          <w:tcPr>
            <w:tcW w:type="dxa" w:w="240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Boring where possible</w:t>
            </w:r>
          </w:p>
        </w:tc>
        <w:tc>
          <w:tcPr>
            <w:tcW w:type="dxa" w:w="6953"/>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Novelty is spent on the generation and traceability layers. Everything else uses well-understood technology, because the MVP window is six to eight weeks.</w:t>
            </w:r>
          </w:p>
        </w:tc>
      </w:tr>
      <w:tr>
        <w:tc>
          <w:tcPr>
            <w:tcW w:type="dxa" w:w="240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Async by default</w:t>
            </w:r>
          </w:p>
        </w:tc>
        <w:tc>
          <w:tcPr>
            <w:tcW w:type="dxa" w:w="6953"/>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Extraction, generation and execution are background jobs with progress reporting. Nothing long-running happens in a request cycle.</w:t>
            </w:r>
          </w:p>
        </w:tc>
      </w:tr>
    </w:tbl>
    <w:p>
      <w:pPr>
        <w:pStyle w:val="Heading2"/>
        <w:spacing w:after="110" w:before="260"/>
      </w:pPr>
      <w:r>
        <w:rPr>
          <w:rFonts w:ascii="Calibri" w:cs="Calibri" w:eastAsia="Calibri" w:hAnsi="Calibri"/>
          <w:b/>
          <w:bCs/>
          <w:color w:val="2E75B6"/>
          <w:sz w:val="25"/>
          <w:szCs w:val="25"/>
        </w:rPr>
        <w:t xml:space="preserve">1.3 Scope of the technical build</w:t>
      </w:r>
    </w:p>
    <w:p>
      <w:pPr>
        <w:spacing w:after="120" w:line="276"/>
      </w:pPr>
      <w:r>
        <w:rPr>
          <w:rFonts w:ascii="Calibri" w:cs="Calibri" w:eastAsia="Calibri" w:hAnsi="Calibri"/>
          <w:b w:val="false"/>
          <w:bCs w:val="false"/>
          <w:i w:val="false"/>
          <w:iCs w:val="false"/>
          <w:color w:val="262626"/>
          <w:sz w:val="21"/>
          <w:szCs w:val="21"/>
        </w:rPr>
        <w:t xml:space="preserve">API testing only, sourced from an OpenAPI 3.x or Swagger 2.0 specification. No browser automation, no traffic capture, no CI/CD plugins in this release. The public API described in section 7.6 is included so that later CI/CD integration does not require rework.</w:t>
      </w:r>
    </w:p>
    <w:p>
      <w:pPr>
        <w:pStyle w:val="Heading1"/>
        <w:pageBreakBefore/>
        <w:spacing w:after="160" w:before="360"/>
      </w:pPr>
      <w:r>
        <w:rPr>
          <w:rFonts w:ascii="Calibri" w:cs="Calibri" w:eastAsia="Calibri" w:hAnsi="Calibri"/>
          <w:b/>
          <w:bCs/>
          <w:color w:val="1F4E79"/>
          <w:sz w:val="30"/>
          <w:szCs w:val="30"/>
        </w:rPr>
        <w:t xml:space="preserve">2. System Architecture</w:t>
      </w:r>
    </w:p>
    <w:p>
      <w:pPr>
        <w:pStyle w:val="Heading2"/>
        <w:spacing w:after="110" w:before="260"/>
      </w:pPr>
      <w:r>
        <w:rPr>
          <w:rFonts w:ascii="Calibri" w:cs="Calibri" w:eastAsia="Calibri" w:hAnsi="Calibri"/>
          <w:b/>
          <w:bCs/>
          <w:color w:val="2E75B6"/>
          <w:sz w:val="25"/>
          <w:szCs w:val="25"/>
        </w:rPr>
        <w:t xml:space="preserve">2.1 Architectural style</w:t>
      </w:r>
    </w:p>
    <w:p>
      <w:pPr>
        <w:spacing w:after="120" w:line="276"/>
      </w:pPr>
      <w:r>
        <w:rPr>
          <w:rFonts w:ascii="Calibri" w:cs="Calibri" w:eastAsia="Calibri" w:hAnsi="Calibri"/>
          <w:b w:val="false"/>
          <w:bCs w:val="false"/>
          <w:i w:val="false"/>
          <w:iCs w:val="false"/>
          <w:color w:val="262626"/>
          <w:sz w:val="21"/>
          <w:szCs w:val="21"/>
        </w:rPr>
        <w:t xml:space="preserve">A modular monolith for the application tier, with execution isolated into separately scaled workers. A monolith is chosen deliberately: the MVP window does not permit the operational overhead of microservices, and the module boundaries described below are sufficient to allow later extraction if scale requires it.</w:t>
      </w:r>
    </w:p>
    <w:p>
      <w:pPr>
        <w:pStyle w:val="Heading2"/>
        <w:spacing w:after="110" w:before="260"/>
      </w:pPr>
      <w:r>
        <w:rPr>
          <w:rFonts w:ascii="Calibri" w:cs="Calibri" w:eastAsia="Calibri" w:hAnsi="Calibri"/>
          <w:b/>
          <w:bCs/>
          <w:color w:val="2E75B6"/>
          <w:sz w:val="25"/>
          <w:szCs w:val="25"/>
        </w:rPr>
        <w:t xml:space="preserve">2.2 Logical architecture</w:t>
      </w:r>
    </w:p>
    <w:p>
      <w:pPr>
        <w:spacing w:after="20" w:line="240"/>
        <w:ind w:left="260"/>
      </w:pPr>
      <w:r>
        <w:rPr>
          <w:rFonts w:ascii="Consolas" w:cs="Consolas" w:eastAsia="Consolas" w:hAnsi="Consolas"/>
          <w:color w:val="1F3864"/>
          <w:sz w:val="18"/>
          <w:szCs w:val="18"/>
        </w:rPr>
        <w:t xml:space="preserve">┌──────────────────────────────────────────────────────────────┐</w:t>
      </w:r>
    </w:p>
    <w:p>
      <w:pPr>
        <w:spacing w:after="20" w:line="240"/>
        <w:ind w:left="260"/>
      </w:pPr>
      <w:r>
        <w:rPr>
          <w:rFonts w:ascii="Consolas" w:cs="Consolas" w:eastAsia="Consolas" w:hAnsi="Consolas"/>
          <w:color w:val="1F3864"/>
          <w:sz w:val="18"/>
          <w:szCs w:val="18"/>
        </w:rPr>
        <w:t xml:space="preserve">│  Web Client (Next.js)                                        │</w:t>
      </w:r>
    </w:p>
    <w:p>
      <w:pPr>
        <w:spacing w:after="20" w:line="240"/>
        <w:ind w:left="260"/>
      </w:pPr>
      <w:r>
        <w:rPr>
          <w:rFonts w:ascii="Consolas" w:cs="Consolas" w:eastAsia="Consolas" w:hAnsi="Consolas"/>
          <w:color w:val="1F3864"/>
          <w:sz w:val="18"/>
          <w:szCs w:val="18"/>
        </w:rPr>
        <w:t xml:space="preserve">│  projects · requirements · inventory · review · runs · matrix│</w:t>
      </w:r>
    </w:p>
    <w:p>
      <w:pPr>
        <w:spacing w:after="20" w:line="240"/>
        <w:ind w:left="260"/>
      </w:pPr>
      <w:r>
        <w:rPr>
          <w:rFonts w:ascii="Consolas" w:cs="Consolas" w:eastAsia="Consolas" w:hAnsi="Consolas"/>
          <w:color w:val="1F3864"/>
          <w:sz w:val="18"/>
          <w:szCs w:val="18"/>
        </w:rPr>
        <w:t xml:space="preserve">└───────────────────────────┬──────────────────────────────────┘</w:t>
      </w:r>
    </w:p>
    <w:p>
      <w:pPr>
        <w:spacing w:after="20" w:line="240"/>
        <w:ind w:left="260"/>
      </w:pPr>
      <w:r>
        <w:rPr>
          <w:rFonts w:ascii="Consolas" w:cs="Consolas" w:eastAsia="Consolas" w:hAnsi="Consolas"/>
          <w:color w:val="1F3864"/>
          <w:sz w:val="18"/>
          <w:szCs w:val="18"/>
        </w:rPr>
        <w:t xml:space="preserve">                            │ HTTPS / JSON</w:t>
      </w:r>
    </w:p>
    <w:p>
      <w:pPr>
        <w:spacing w:after="20" w:line="240"/>
        <w:ind w:left="260"/>
      </w:pPr>
      <w:r>
        <w:rPr>
          <w:rFonts w:ascii="Consolas" w:cs="Consolas" w:eastAsia="Consolas" w:hAnsi="Consolas"/>
          <w:color w:val="1F3864"/>
          <w:sz w:val="18"/>
          <w:szCs w:val="18"/>
        </w:rPr>
        <w:t xml:space="preserve">┌───────────────────────────▼──────────────────────────────────┐</w:t>
      </w:r>
    </w:p>
    <w:p>
      <w:pPr>
        <w:spacing w:after="20" w:line="240"/>
        <w:ind w:left="260"/>
      </w:pPr>
      <w:r>
        <w:rPr>
          <w:rFonts w:ascii="Consolas" w:cs="Consolas" w:eastAsia="Consolas" w:hAnsi="Consolas"/>
          <w:color w:val="1F3864"/>
          <w:sz w:val="18"/>
          <w:szCs w:val="18"/>
        </w:rPr>
        <w:t xml:space="preserve">│  API Tier (FastAPI)                                          │</w:t>
      </w:r>
    </w:p>
    <w:p>
      <w:pPr>
        <w:spacing w:after="20" w:line="240"/>
        <w:ind w:left="260"/>
      </w:pPr>
      <w:r>
        <w:rPr>
          <w:rFonts w:ascii="Consolas" w:cs="Consolas" w:eastAsia="Consolas" w:hAnsi="Consolas"/>
          <w:color w:val="1F3864"/>
          <w:sz w:val="18"/>
          <w:szCs w:val="18"/>
        </w:rPr>
        <w:t xml:space="preserve">│  auth · RBAC · validation · orchestration · public API        │</w:t>
      </w:r>
    </w:p>
    <w:p>
      <w:pPr>
        <w:spacing w:after="20" w:line="240"/>
        <w:ind w:left="260"/>
      </w:pPr>
      <w:r>
        <w:rPr>
          <w:rFonts w:ascii="Consolas" w:cs="Consolas" w:eastAsia="Consolas" w:hAnsi="Consolas"/>
          <w:color w:val="1F3864"/>
          <w:sz w:val="18"/>
          <w:szCs w:val="18"/>
        </w:rPr>
        <w:t xml:space="preserve">└──┬──────────┬──────────┬──────────┬──────────┬───────────────┘</w:t>
      </w:r>
    </w:p>
    <w:p>
      <w:pPr>
        <w:spacing w:after="20" w:line="240"/>
        <w:ind w:left="260"/>
      </w:pPr>
      <w:r>
        <w:rPr>
          <w:rFonts w:ascii="Consolas" w:cs="Consolas" w:eastAsia="Consolas" w:hAnsi="Consolas"/>
          <w:color w:val="1F3864"/>
          <w:sz w:val="18"/>
          <w:szCs w:val="18"/>
        </w:rPr>
        <w:t xml:space="preserve">   │          │          │          │          │</w:t>
      </w:r>
    </w:p>
    <w:p>
      <w:pPr>
        <w:spacing w:after="20" w:line="240"/>
        <w:ind w:left="260"/>
      </w:pPr>
      <w:r>
        <w:rPr>
          <w:rFonts w:ascii="Consolas" w:cs="Consolas" w:eastAsia="Consolas" w:hAnsi="Consolas"/>
          <w:color w:val="1F3864"/>
          <w:sz w:val="18"/>
          <w:szCs w:val="18"/>
        </w:rPr>
        <w:t xml:space="preserve">   ▼          ▼          ▼          ▼          ▼</w:t>
      </w:r>
    </w:p>
    <w:p>
      <w:pPr>
        <w:spacing w:after="20" w:line="240"/>
        <w:ind w:left="260"/>
      </w:pPr>
      <w:r>
        <w:rPr>
          <w:rFonts w:ascii="Consolas" w:cs="Consolas" w:eastAsia="Consolas" w:hAnsi="Consolas"/>
          <w:color w:val="1F3864"/>
          <w:sz w:val="18"/>
          <w:szCs w:val="18"/>
        </w:rPr>
        <w:t xml:space="preserve"> ┌──────┐ ┌────────┐ ┌────────┐ ┌────────┐ ┌───────────┐</w:t>
      </w:r>
    </w:p>
    <w:p>
      <w:pPr>
        <w:spacing w:after="20" w:line="240"/>
        <w:ind w:left="260"/>
      </w:pPr>
      <w:r>
        <w:rPr>
          <w:rFonts w:ascii="Consolas" w:cs="Consolas" w:eastAsia="Consolas" w:hAnsi="Consolas"/>
          <w:color w:val="1F3864"/>
          <w:sz w:val="18"/>
          <w:szCs w:val="18"/>
        </w:rPr>
        <w:t xml:space="preserve"> │ Req  │ │Discov. │ │  Test  │ │Traceab.│ │ Reporting │</w:t>
      </w:r>
    </w:p>
    <w:p>
      <w:pPr>
        <w:spacing w:after="20" w:line="240"/>
        <w:ind w:left="260"/>
      </w:pPr>
      <w:r>
        <w:rPr>
          <w:rFonts w:ascii="Consolas" w:cs="Consolas" w:eastAsia="Consolas" w:hAnsi="Consolas"/>
          <w:color w:val="1F3864"/>
          <w:sz w:val="18"/>
          <w:szCs w:val="18"/>
        </w:rPr>
        <w:t xml:space="preserve"> │Parser│ │ Engine │ │Generator│ │ Engine │ │  Engine   │</w:t>
      </w:r>
    </w:p>
    <w:p>
      <w:pPr>
        <w:spacing w:after="20" w:line="240"/>
        <w:ind w:left="260"/>
      </w:pPr>
      <w:r>
        <w:rPr>
          <w:rFonts w:ascii="Consolas" w:cs="Consolas" w:eastAsia="Consolas" w:hAnsi="Consolas"/>
          <w:color w:val="1F3864"/>
          <w:sz w:val="18"/>
          <w:szCs w:val="18"/>
        </w:rPr>
        <w:t xml:space="preserve"> └──┬───┘ └───┬────┘ └───┬────┘ └───┬────┘ └─────┬─────┘</w:t>
      </w:r>
    </w:p>
    <w:p>
      <w:pPr>
        <w:spacing w:after="20" w:line="240"/>
        <w:ind w:left="260"/>
      </w:pPr>
      <w:r>
        <w:rPr>
          <w:rFonts w:ascii="Consolas" w:cs="Consolas" w:eastAsia="Consolas" w:hAnsi="Consolas"/>
          <w:color w:val="1F3864"/>
          <w:sz w:val="18"/>
          <w:szCs w:val="18"/>
        </w:rPr>
        <w:t xml:space="preserve">    │         │          │          │            │</w:t>
      </w:r>
    </w:p>
    <w:p>
      <w:pPr>
        <w:spacing w:after="20" w:line="240"/>
        <w:ind w:left="260"/>
      </w:pPr>
      <w:r>
        <w:rPr>
          <w:rFonts w:ascii="Consolas" w:cs="Consolas" w:eastAsia="Consolas" w:hAnsi="Consolas"/>
          <w:color w:val="1F3864"/>
          <w:sz w:val="18"/>
          <w:szCs w:val="18"/>
        </w:rPr>
        <w:t xml:space="preserve">    └─────────┴────┬─────┴──────────┴────────────┘</w:t>
      </w:r>
    </w:p>
    <w:p>
      <w:pPr>
        <w:spacing w:after="20" w:line="240"/>
        <w:ind w:left="260"/>
      </w:pPr>
      <w:r>
        <w:rPr>
          <w:rFonts w:ascii="Consolas" w:cs="Consolas" w:eastAsia="Consolas" w:hAnsi="Consolas"/>
          <w:color w:val="1F3864"/>
          <w:sz w:val="18"/>
          <w:szCs w:val="18"/>
        </w:rPr>
        <w:t xml:space="preserve">                   ▼</w:t>
      </w:r>
    </w:p>
    <w:p>
      <w:pPr>
        <w:spacing w:after="20" w:line="240"/>
        <w:ind w:left="260"/>
      </w:pPr>
      <w:r>
        <w:rPr>
          <w:rFonts w:ascii="Consolas" w:cs="Consolas" w:eastAsia="Consolas" w:hAnsi="Consolas"/>
          <w:color w:val="1F3864"/>
          <w:sz w:val="18"/>
          <w:szCs w:val="18"/>
        </w:rPr>
        <w:t xml:space="preserve">        ┌─────────────────────┐    ┌────────────────────┐</w:t>
      </w:r>
    </w:p>
    <w:p>
      <w:pPr>
        <w:spacing w:after="20" w:line="240"/>
        <w:ind w:left="260"/>
      </w:pPr>
      <w:r>
        <w:rPr>
          <w:rFonts w:ascii="Consolas" w:cs="Consolas" w:eastAsia="Consolas" w:hAnsi="Consolas"/>
          <w:color w:val="1F3864"/>
          <w:sz w:val="18"/>
          <w:szCs w:val="18"/>
        </w:rPr>
        <w:t xml:space="preserve">        │ PostgreSQL          │    │ Object storage     │</w:t>
      </w:r>
    </w:p>
    <w:p>
      <w:pPr>
        <w:spacing w:after="20" w:line="240"/>
        <w:ind w:left="260"/>
      </w:pPr>
      <w:r>
        <w:rPr>
          <w:rFonts w:ascii="Consolas" w:cs="Consolas" w:eastAsia="Consolas" w:hAnsi="Consolas"/>
          <w:color w:val="1F3864"/>
          <w:sz w:val="18"/>
          <w:szCs w:val="18"/>
        </w:rPr>
        <w:t xml:space="preserve">        │ (relational core)   │    │ (documents, specs) │</w:t>
      </w:r>
    </w:p>
    <w:p>
      <w:pPr>
        <w:spacing w:after="20" w:line="240"/>
        <w:ind w:left="260"/>
      </w:pPr>
      <w:r>
        <w:rPr>
          <w:rFonts w:ascii="Consolas" w:cs="Consolas" w:eastAsia="Consolas" w:hAnsi="Consolas"/>
          <w:color w:val="1F3864"/>
          <w:sz w:val="18"/>
          <w:szCs w:val="18"/>
        </w:rPr>
        <w:t xml:space="preserve">        └─────────────────────┘    └────────────────────┘</w:t>
      </w:r>
    </w:p>
    <w:p>
      <w:pPr>
        <w:spacing w:after="20" w:line="240"/>
        <w:ind w:left="260"/>
      </w:pPr>
      <w:r>
        <w:rPr>
          <w:rFonts w:ascii="Consolas" w:cs="Consolas" w:eastAsia="Consolas" w:hAnsi="Consolas"/>
          <w:color w:val="1F3864"/>
          <w:sz w:val="18"/>
          <w:szCs w:val="18"/>
        </w:rPr>
        <w:t xml:space="preserve"/>
      </w:r>
    </w:p>
    <w:p>
      <w:pPr>
        <w:spacing w:after="20" w:line="240"/>
        <w:ind w:left="260"/>
      </w:pPr>
      <w:r>
        <w:rPr>
          <w:rFonts w:ascii="Consolas" w:cs="Consolas" w:eastAsia="Consolas" w:hAnsi="Consolas"/>
          <w:color w:val="1F3864"/>
          <w:sz w:val="18"/>
          <w:szCs w:val="18"/>
        </w:rPr>
        <w:t xml:space="preserve"> ┌──────────────────────┐        ┌──────────────────────────┐</w:t>
      </w:r>
    </w:p>
    <w:p>
      <w:pPr>
        <w:spacing w:after="20" w:line="240"/>
        <w:ind w:left="260"/>
      </w:pPr>
      <w:r>
        <w:rPr>
          <w:rFonts w:ascii="Consolas" w:cs="Consolas" w:eastAsia="Consolas" w:hAnsi="Consolas"/>
          <w:color w:val="1F3864"/>
          <w:sz w:val="18"/>
          <w:szCs w:val="18"/>
        </w:rPr>
        <w:t xml:space="preserve"> │ Redis + Celery queue │───────▶│ Execution Workers        │</w:t>
      </w:r>
    </w:p>
    <w:p>
      <w:pPr>
        <w:spacing w:after="20" w:line="240"/>
        <w:ind w:left="260"/>
      </w:pPr>
      <w:r>
        <w:rPr>
          <w:rFonts w:ascii="Consolas" w:cs="Consolas" w:eastAsia="Consolas" w:hAnsi="Consolas"/>
          <w:color w:val="1F3864"/>
          <w:sz w:val="18"/>
          <w:szCs w:val="18"/>
        </w:rPr>
        <w:t xml:space="preserve"> └──────────────────────┘        │ (HTTP runner, sandboxed) │</w:t>
      </w:r>
    </w:p>
    <w:p>
      <w:pPr>
        <w:spacing w:after="20" w:line="240"/>
        <w:ind w:left="260"/>
      </w:pPr>
      <w:r>
        <w:rPr>
          <w:rFonts w:ascii="Consolas" w:cs="Consolas" w:eastAsia="Consolas" w:hAnsi="Consolas"/>
          <w:color w:val="1F3864"/>
          <w:sz w:val="18"/>
          <w:szCs w:val="18"/>
        </w:rPr>
        <w:t xml:space="preserve">                                 └───────────┬──────────────┘</w:t>
      </w:r>
    </w:p>
    <w:p>
      <w:pPr>
        <w:spacing w:after="20" w:line="240"/>
        <w:ind w:left="260"/>
      </w:pPr>
      <w:r>
        <w:rPr>
          <w:rFonts w:ascii="Consolas" w:cs="Consolas" w:eastAsia="Consolas" w:hAnsi="Consolas"/>
          <w:color w:val="1F3864"/>
          <w:sz w:val="18"/>
          <w:szCs w:val="18"/>
        </w:rPr>
        <w:t xml:space="preserve">                                             ▼  System Under Test</w:t>
      </w:r>
    </w:p>
    <w:p>
      <w:pPr>
        <w:spacing w:after="20" w:line="240"/>
        <w:ind w:left="260"/>
      </w:pPr>
      <w:r>
        <w:rPr>
          <w:rFonts w:ascii="Consolas" w:cs="Consolas" w:eastAsia="Consolas" w:hAnsi="Consolas"/>
          <w:color w:val="1F3864"/>
          <w:sz w:val="18"/>
          <w:szCs w:val="18"/>
        </w:rPr>
        <w:t xml:space="preserve"/>
      </w:r>
    </w:p>
    <w:p>
      <w:pPr>
        <w:spacing w:after="20" w:line="240"/>
        <w:ind w:left="260"/>
      </w:pPr>
      <w:r>
        <w:rPr>
          <w:rFonts w:ascii="Consolas" w:cs="Consolas" w:eastAsia="Consolas" w:hAnsi="Consolas"/>
          <w:color w:val="1F3864"/>
          <w:sz w:val="18"/>
          <w:szCs w:val="18"/>
        </w:rPr>
        <w:t xml:space="preserve"> ┌────────────────────────────────────────────────────────────┐</w:t>
      </w:r>
    </w:p>
    <w:p>
      <w:pPr>
        <w:spacing w:after="20" w:line="240"/>
        <w:ind w:left="260"/>
      </w:pPr>
      <w:r>
        <w:rPr>
          <w:rFonts w:ascii="Consolas" w:cs="Consolas" w:eastAsia="Consolas" w:hAnsi="Consolas"/>
          <w:color w:val="1F3864"/>
          <w:sz w:val="18"/>
          <w:szCs w:val="18"/>
        </w:rPr>
        <w:t xml:space="preserve"> │ LLM Abstraction Layer  →  hosted provider | self-hosted     │</w:t>
      </w:r>
    </w:p>
    <w:p>
      <w:pPr>
        <w:spacing w:after="20" w:line="240"/>
        <w:ind w:left="260"/>
      </w:pPr>
      <w:r>
        <w:rPr>
          <w:rFonts w:ascii="Consolas" w:cs="Consolas" w:eastAsia="Consolas" w:hAnsi="Consolas"/>
          <w:color w:val="1F3864"/>
          <w:sz w:val="18"/>
          <w:szCs w:val="18"/>
        </w:rPr>
        <w:t xml:space="preserve"> └────────────────────────────────────────────────────────────┘</w:t>
      </w:r>
    </w:p>
    <w:p>
      <w:pPr>
        <w:spacing w:after="160"/>
      </w:pPr>
      <w:r>
        <w:t xml:space="preserve"/>
      </w:r>
    </w:p>
    <w:p>
      <w:pPr>
        <w:pStyle w:val="Heading2"/>
        <w:spacing w:after="110" w:before="260"/>
      </w:pPr>
      <w:r>
        <w:rPr>
          <w:rFonts w:ascii="Calibri" w:cs="Calibri" w:eastAsia="Calibri" w:hAnsi="Calibri"/>
          <w:b/>
          <w:bCs/>
          <w:color w:val="2E75B6"/>
          <w:sz w:val="25"/>
          <w:szCs w:val="25"/>
        </w:rPr>
        <w:t xml:space="preserve">2.3 Processing pipeline</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936"/>
        <w:gridCol w:w="2407"/>
        <w:gridCol w:w="2942"/>
        <w:gridCol w:w="3075"/>
      </w:tblGrid>
      <w:tr>
        <w:trPr>
          <w:tblHeader/>
        </w:trPr>
        <w:tc>
          <w:tcPr>
            <w:tcW w:type="dxa" w:w="936"/>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w:t>
            </w:r>
          </w:p>
        </w:tc>
        <w:tc>
          <w:tcPr>
            <w:tcW w:type="dxa" w:w="2407"/>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Stage</w:t>
            </w:r>
          </w:p>
        </w:tc>
        <w:tc>
          <w:tcPr>
            <w:tcW w:type="dxa" w:w="2942"/>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Input</w:t>
            </w:r>
          </w:p>
        </w:tc>
        <w:tc>
          <w:tcPr>
            <w:tcW w:type="dxa" w:w="3075"/>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Output</w:t>
            </w:r>
          </w:p>
        </w:tc>
      </w:tr>
      <w:tr>
        <w:tc>
          <w:tcPr>
            <w:tcW w:type="dxa" w:w="936"/>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1</w:t>
            </w:r>
          </w:p>
        </w:tc>
        <w:tc>
          <w:tcPr>
            <w:tcW w:type="dxa" w:w="240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Requirements parsing</w:t>
            </w:r>
          </w:p>
        </w:tc>
        <w:tc>
          <w:tcPr>
            <w:tcW w:type="dxa" w:w="294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PDF / DOCX / Markdown document</w:t>
            </w:r>
          </w:p>
        </w:tc>
        <w:tc>
          <w:tcPr>
            <w:tcW w:type="dxa" w:w="3075"/>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Structured, versioned Requirement records with acceptance criteria, awaiting user confirmation</w:t>
            </w:r>
          </w:p>
        </w:tc>
      </w:tr>
      <w:tr>
        <w:tc>
          <w:tcPr>
            <w:tcW w:type="dxa" w:w="936"/>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2</w:t>
            </w:r>
          </w:p>
        </w:tc>
        <w:tc>
          <w:tcPr>
            <w:tcW w:type="dxa" w:w="240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API discovery</w:t>
            </w:r>
          </w:p>
        </w:tc>
        <w:tc>
          <w:tcPr>
            <w:tcW w:type="dxa" w:w="294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OpenAPI 3.x or Swagger 2.0, by file or URL</w:t>
            </w:r>
          </w:p>
        </w:tc>
        <w:tc>
          <w:tcPr>
            <w:tcW w:type="dxa" w:w="3075"/>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Normalised Endpoint inventory with parameters, schemas and security</w:t>
            </w:r>
          </w:p>
        </w:tc>
      </w:tr>
      <w:tr>
        <w:tc>
          <w:tcPr>
            <w:tcW w:type="dxa" w:w="936"/>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3</w:t>
            </w:r>
          </w:p>
        </w:tc>
        <w:tc>
          <w:tcPr>
            <w:tcW w:type="dxa" w:w="240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Requirement–endpoint mapping</w:t>
            </w:r>
          </w:p>
        </w:tc>
        <w:tc>
          <w:tcPr>
            <w:tcW w:type="dxa" w:w="294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Confirmed requirements + endpoint inventory</w:t>
            </w:r>
          </w:p>
        </w:tc>
        <w:tc>
          <w:tcPr>
            <w:tcW w:type="dxa" w:w="3075"/>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Candidate endpoint set per requirement, with confidence; unmappable requirements flagged</w:t>
            </w:r>
          </w:p>
        </w:tc>
      </w:tr>
      <w:tr>
        <w:tc>
          <w:tcPr>
            <w:tcW w:type="dxa" w:w="936"/>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4</w:t>
            </w:r>
          </w:p>
        </w:tc>
        <w:tc>
          <w:tcPr>
            <w:tcW w:type="dxa" w:w="240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Test generation</w:t>
            </w:r>
          </w:p>
        </w:tc>
        <w:tc>
          <w:tcPr>
            <w:tcW w:type="dxa" w:w="294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Requirement + mapped endpoints + design technique rules</w:t>
            </w:r>
          </w:p>
        </w:tc>
        <w:tc>
          <w:tcPr>
            <w:tcW w:type="dxa" w:w="3075"/>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Draft TestCase records with steps and assertions, each linked to requirements</w:t>
            </w:r>
          </w:p>
        </w:tc>
      </w:tr>
      <w:tr>
        <w:tc>
          <w:tcPr>
            <w:tcW w:type="dxa" w:w="936"/>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5</w:t>
            </w:r>
          </w:p>
        </w:tc>
        <w:tc>
          <w:tcPr>
            <w:tcW w:type="dxa" w:w="240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Grounding validation</w:t>
            </w:r>
          </w:p>
        </w:tc>
        <w:tc>
          <w:tcPr>
            <w:tcW w:type="dxa" w:w="294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Draft test cases + endpoint inventory</w:t>
            </w:r>
          </w:p>
        </w:tc>
        <w:tc>
          <w:tcPr>
            <w:tcW w:type="dxa" w:w="3075"/>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Validated cases persisted; ungrounded cases discarded and counted</w:t>
            </w:r>
          </w:p>
        </w:tc>
      </w:tr>
      <w:tr>
        <w:tc>
          <w:tcPr>
            <w:tcW w:type="dxa" w:w="936"/>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6</w:t>
            </w:r>
          </w:p>
        </w:tc>
        <w:tc>
          <w:tcPr>
            <w:tcW w:type="dxa" w:w="240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Human review</w:t>
            </w:r>
          </w:p>
        </w:tc>
        <w:tc>
          <w:tcPr>
            <w:tcW w:type="dxa" w:w="294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Draft cases</w:t>
            </w:r>
          </w:p>
        </w:tc>
        <w:tc>
          <w:tcPr>
            <w:tcW w:type="dxa" w:w="3075"/>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Approved / Rejected cases with approver and timestamp</w:t>
            </w:r>
          </w:p>
        </w:tc>
      </w:tr>
      <w:tr>
        <w:tc>
          <w:tcPr>
            <w:tcW w:type="dxa" w:w="936"/>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7</w:t>
            </w:r>
          </w:p>
        </w:tc>
        <w:tc>
          <w:tcPr>
            <w:tcW w:type="dxa" w:w="240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Execution</w:t>
            </w:r>
          </w:p>
        </w:tc>
        <w:tc>
          <w:tcPr>
            <w:tcW w:type="dxa" w:w="294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Approved cases + environment configuration</w:t>
            </w:r>
          </w:p>
        </w:tc>
        <w:tc>
          <w:tcPr>
            <w:tcW w:type="dxa" w:w="3075"/>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Immutable TestResult records with full request/response evidence</w:t>
            </w:r>
          </w:p>
        </w:tc>
      </w:tr>
      <w:tr>
        <w:tc>
          <w:tcPr>
            <w:tcW w:type="dxa" w:w="936"/>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8</w:t>
            </w:r>
          </w:p>
        </w:tc>
        <w:tc>
          <w:tcPr>
            <w:tcW w:type="dxa" w:w="240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Traceability and reporting</w:t>
            </w:r>
          </w:p>
        </w:tc>
        <w:tc>
          <w:tcPr>
            <w:tcW w:type="dxa" w:w="294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Requirements + cases + results</w:t>
            </w:r>
          </w:p>
        </w:tc>
        <w:tc>
          <w:tcPr>
            <w:tcW w:type="dxa" w:w="3075"/>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Matrix, coverage gaps, stale-case flags, Excel and PDF exports</w:t>
            </w:r>
          </w:p>
        </w:tc>
      </w:tr>
    </w:tbl>
    <w:p>
      <w:pPr>
        <w:pStyle w:val="Heading2"/>
        <w:spacing w:after="110" w:before="260"/>
      </w:pPr>
      <w:r>
        <w:rPr>
          <w:rFonts w:ascii="Calibri" w:cs="Calibri" w:eastAsia="Calibri" w:hAnsi="Calibri"/>
          <w:b/>
          <w:bCs/>
          <w:color w:val="2E75B6"/>
          <w:sz w:val="25"/>
          <w:szCs w:val="25"/>
        </w:rPr>
        <w:t xml:space="preserve">2.4 Module boundaries</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2407"/>
        <w:gridCol w:w="4011"/>
        <w:gridCol w:w="2942"/>
      </w:tblGrid>
      <w:tr>
        <w:trPr>
          <w:tblHeader/>
        </w:trPr>
        <w:tc>
          <w:tcPr>
            <w:tcW w:type="dxa" w:w="2407"/>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Module</w:t>
            </w:r>
          </w:p>
        </w:tc>
        <w:tc>
          <w:tcPr>
            <w:tcW w:type="dxa" w:w="4011"/>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Responsibility</w:t>
            </w:r>
          </w:p>
        </w:tc>
        <w:tc>
          <w:tcPr>
            <w:tcW w:type="dxa" w:w="2942"/>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May depend on</w:t>
            </w:r>
          </w:p>
        </w:tc>
      </w:tr>
      <w:tr>
        <w:tc>
          <w:tcPr>
            <w:tcW w:type="dxa" w:w="2407"/>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identity</w:t>
            </w:r>
          </w:p>
        </w:tc>
        <w:tc>
          <w:tcPr>
            <w:tcW w:type="dxa" w:w="401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Users, organisations, roles, sessions, audit log.</w:t>
            </w:r>
          </w:p>
        </w:tc>
        <w:tc>
          <w:tcPr>
            <w:tcW w:type="dxa" w:w="294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w:t>
            </w:r>
          </w:p>
        </w:tc>
      </w:tr>
      <w:tr>
        <w:tc>
          <w:tcPr>
            <w:tcW w:type="dxa" w:w="240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projects</w:t>
            </w:r>
          </w:p>
        </w:tc>
        <w:tc>
          <w:tcPr>
            <w:tcW w:type="dxa" w:w="401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Projects, environments, secrets, variables.</w:t>
            </w:r>
          </w:p>
        </w:tc>
        <w:tc>
          <w:tcPr>
            <w:tcW w:type="dxa" w:w="294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identity</w:t>
            </w:r>
          </w:p>
        </w:tc>
      </w:tr>
      <w:tr>
        <w:tc>
          <w:tcPr>
            <w:tcW w:type="dxa" w:w="2407"/>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ingestion</w:t>
            </w:r>
          </w:p>
        </w:tc>
        <w:tc>
          <w:tcPr>
            <w:tcW w:type="dxa" w:w="401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Document upload, parsing, requirement extraction and versioning.</w:t>
            </w:r>
          </w:p>
        </w:tc>
        <w:tc>
          <w:tcPr>
            <w:tcW w:type="dxa" w:w="294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projects, llm</w:t>
            </w:r>
          </w:p>
        </w:tc>
      </w:tr>
      <w:tr>
        <w:tc>
          <w:tcPr>
            <w:tcW w:type="dxa" w:w="240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discovery</w:t>
            </w:r>
          </w:p>
        </w:tc>
        <w:tc>
          <w:tcPr>
            <w:tcW w:type="dxa" w:w="401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Specification import, endpoint inventory normalisation and versioning.</w:t>
            </w:r>
          </w:p>
        </w:tc>
        <w:tc>
          <w:tcPr>
            <w:tcW w:type="dxa" w:w="294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projects</w:t>
            </w:r>
          </w:p>
        </w:tc>
      </w:tr>
      <w:tr>
        <w:tc>
          <w:tcPr>
            <w:tcW w:type="dxa" w:w="2407"/>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generation</w:t>
            </w:r>
          </w:p>
        </w:tc>
        <w:tc>
          <w:tcPr>
            <w:tcW w:type="dxa" w:w="401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Mapping, generation, grounding validation, prompt registry.</w:t>
            </w:r>
          </w:p>
        </w:tc>
        <w:tc>
          <w:tcPr>
            <w:tcW w:type="dxa" w:w="294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ingestion, discovery, llm</w:t>
            </w:r>
          </w:p>
        </w:tc>
      </w:tr>
      <w:tr>
        <w:tc>
          <w:tcPr>
            <w:tcW w:type="dxa" w:w="240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review</w:t>
            </w:r>
          </w:p>
        </w:tc>
        <w:tc>
          <w:tcPr>
            <w:tcW w:type="dxa" w:w="401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Test case lifecycle and approval.</w:t>
            </w:r>
          </w:p>
        </w:tc>
        <w:tc>
          <w:tcPr>
            <w:tcW w:type="dxa" w:w="294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generation</w:t>
            </w:r>
          </w:p>
        </w:tc>
      </w:tr>
      <w:tr>
        <w:tc>
          <w:tcPr>
            <w:tcW w:type="dxa" w:w="2407"/>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execution</w:t>
            </w:r>
          </w:p>
        </w:tc>
        <w:tc>
          <w:tcPr>
            <w:tcW w:type="dxa" w:w="401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Run orchestration, HTTP runner, assertions, evidence capture.</w:t>
            </w:r>
          </w:p>
        </w:tc>
        <w:tc>
          <w:tcPr>
            <w:tcW w:type="dxa" w:w="294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projects, review</w:t>
            </w:r>
          </w:p>
        </w:tc>
      </w:tr>
      <w:tr>
        <w:tc>
          <w:tcPr>
            <w:tcW w:type="dxa" w:w="240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traceability</w:t>
            </w:r>
          </w:p>
        </w:tc>
        <w:tc>
          <w:tcPr>
            <w:tcW w:type="dxa" w:w="401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Matrix computation, coverage, staleness detection.</w:t>
            </w:r>
          </w:p>
        </w:tc>
        <w:tc>
          <w:tcPr>
            <w:tcW w:type="dxa" w:w="294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ingestion, review, execution</w:t>
            </w:r>
          </w:p>
        </w:tc>
      </w:tr>
      <w:tr>
        <w:tc>
          <w:tcPr>
            <w:tcW w:type="dxa" w:w="2407"/>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reporting</w:t>
            </w:r>
          </w:p>
        </w:tc>
        <w:tc>
          <w:tcPr>
            <w:tcW w:type="dxa" w:w="401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Report assembly, Excel and PDF export.</w:t>
            </w:r>
          </w:p>
        </w:tc>
        <w:tc>
          <w:tcPr>
            <w:tcW w:type="dxa" w:w="294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traceability, execution</w:t>
            </w:r>
          </w:p>
        </w:tc>
      </w:tr>
      <w:tr>
        <w:tc>
          <w:tcPr>
            <w:tcW w:type="dxa" w:w="240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llm</w:t>
            </w:r>
          </w:p>
        </w:tc>
        <w:tc>
          <w:tcPr>
            <w:tcW w:type="dxa" w:w="401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Provider abstraction, schema-constrained calls, cost and usage metering.</w:t>
            </w:r>
          </w:p>
        </w:tc>
        <w:tc>
          <w:tcPr>
            <w:tcW w:type="dxa" w:w="294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w:t>
            </w:r>
          </w:p>
        </w:tc>
      </w:tr>
    </w:tbl>
    <w:p>
      <w:pPr>
        <w:spacing w:after="120" w:line="276"/>
      </w:pPr>
      <w:r>
        <w:rPr>
          <w:rFonts w:ascii="Calibri" w:cs="Calibri" w:eastAsia="Calibri" w:hAnsi="Calibri"/>
          <w:b w:val="false"/>
          <w:bCs w:val="false"/>
          <w:i/>
          <w:iCs/>
          <w:color w:val="262626"/>
          <w:sz w:val="21"/>
          <w:szCs w:val="21"/>
        </w:rPr>
        <w:t xml:space="preserve">Dependencies flow downward only. A module must not import from a module that depends on it; violations are caught by an import-linting rule in CI.</w:t>
      </w:r>
    </w:p>
    <w:p>
      <w:pPr>
        <w:pStyle w:val="Heading1"/>
        <w:pageBreakBefore/>
        <w:spacing w:after="160" w:before="360"/>
      </w:pPr>
      <w:r>
        <w:rPr>
          <w:rFonts w:ascii="Calibri" w:cs="Calibri" w:eastAsia="Calibri" w:hAnsi="Calibri"/>
          <w:b/>
          <w:bCs/>
          <w:color w:val="1F4E79"/>
          <w:sz w:val="30"/>
          <w:szCs w:val="30"/>
        </w:rPr>
        <w:t xml:space="preserve">3. Technology Stack</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2139"/>
        <w:gridCol w:w="2407"/>
        <w:gridCol w:w="4814"/>
      </w:tblGrid>
      <w:tr>
        <w:trPr>
          <w:tblHeader/>
        </w:trPr>
        <w:tc>
          <w:tcPr>
            <w:tcW w:type="dxa" w:w="2139"/>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8"/>
                <w:szCs w:val="18"/>
              </w:rPr>
              <w:t xml:space="preserve">Layer</w:t>
            </w:r>
          </w:p>
        </w:tc>
        <w:tc>
          <w:tcPr>
            <w:tcW w:type="dxa" w:w="2407"/>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8"/>
                <w:szCs w:val="18"/>
              </w:rPr>
              <w:t xml:space="preserve">Selection</w:t>
            </w:r>
          </w:p>
        </w:tc>
        <w:tc>
          <w:tcPr>
            <w:tcW w:type="dxa" w:w="4814"/>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8"/>
                <w:szCs w:val="18"/>
              </w:rPr>
              <w:t xml:space="preserve">Rationale and constraints</w:t>
            </w:r>
          </w:p>
        </w:tc>
      </w:tr>
      <w:tr>
        <w:tc>
          <w:tcPr>
            <w:tcW w:type="dxa" w:w="2139"/>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Backend</w:t>
            </w:r>
          </w:p>
        </w:tc>
        <w:tc>
          <w:tcPr>
            <w:tcW w:type="dxa" w:w="240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Python 3.12 with FastAPI</w:t>
            </w:r>
          </w:p>
        </w:tc>
        <w:tc>
          <w:tcPr>
            <w:tcW w:type="dxa" w:w="481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Strongest ecosystem for document parsing and model integration; native async suited to an I/O-bound execution engine; Pydantic gives schema validation of model output for free, which is the core trust control.</w:t>
            </w:r>
          </w:p>
        </w:tc>
      </w:tr>
      <w:tr>
        <w:tc>
          <w:tcPr>
            <w:tcW w:type="dxa" w:w="2139"/>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Background jobs</w:t>
            </w:r>
          </w:p>
        </w:tc>
        <w:tc>
          <w:tcPr>
            <w:tcW w:type="dxa" w:w="240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Celery with Redis broker</w:t>
            </w:r>
          </w:p>
        </w:tc>
        <w:tc>
          <w:tcPr>
            <w:tcW w:type="dxa" w:w="481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Extraction, generation and execution are long-running. Mature, self-hostable, satisfies NFR-POR-02. Redis also serves short-lived caching.</w:t>
            </w:r>
          </w:p>
        </w:tc>
      </w:tr>
      <w:tr>
        <w:tc>
          <w:tcPr>
            <w:tcW w:type="dxa" w:w="2139"/>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Database</w:t>
            </w:r>
          </w:p>
        </w:tc>
        <w:tc>
          <w:tcPr>
            <w:tcW w:type="dxa" w:w="240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PostgreSQL 16</w:t>
            </w:r>
          </w:p>
        </w:tc>
        <w:tc>
          <w:tcPr>
            <w:tcW w:type="dxa" w:w="481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The requirement–test-case relationship is inherently relational and the traceability matrix is a join. JSONB columns hold schemas and evidence payloads without a second data store.</w:t>
            </w:r>
          </w:p>
        </w:tc>
      </w:tr>
      <w:tr>
        <w:tc>
          <w:tcPr>
            <w:tcW w:type="dxa" w:w="2139"/>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Object storage</w:t>
            </w:r>
          </w:p>
        </w:tc>
        <w:tc>
          <w:tcPr>
            <w:tcW w:type="dxa" w:w="240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S3-compatible (MinIO for on-premise)</w:t>
            </w:r>
          </w:p>
        </w:tc>
        <w:tc>
          <w:tcPr>
            <w:tcW w:type="dxa" w:w="481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Source documents and specifications. S3 API with a self-hostable implementation preserves portability.</w:t>
            </w:r>
          </w:p>
        </w:tc>
      </w:tr>
      <w:tr>
        <w:tc>
          <w:tcPr>
            <w:tcW w:type="dxa" w:w="2139"/>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LLM</w:t>
            </w:r>
          </w:p>
        </w:tc>
        <w:tc>
          <w:tcPr>
            <w:tcW w:type="dxa" w:w="240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Provider-agnostic layer over a hosted API, with a self-hosted option</w:t>
            </w:r>
          </w:p>
        </w:tc>
        <w:tc>
          <w:tcPr>
            <w:tcW w:type="dxa" w:w="481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Required by SRS CON-02 and NFR-POR-04. Calls are schema-constrained; no provider-specific behaviour leaks past the interface.</w:t>
            </w:r>
          </w:p>
        </w:tc>
      </w:tr>
      <w:tr>
        <w:tc>
          <w:tcPr>
            <w:tcW w:type="dxa" w:w="2139"/>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Document parsing</w:t>
            </w:r>
          </w:p>
        </w:tc>
        <w:tc>
          <w:tcPr>
            <w:tcW w:type="dxa" w:w="240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PyMuPDF for PDF, python-docx for DOCX, with layout-aware pre-processing for Arabic</w:t>
            </w:r>
          </w:p>
        </w:tc>
        <w:tc>
          <w:tcPr>
            <w:tcW w:type="dxa" w:w="481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Arabic PDF extraction is the highest-uncertainty item in the stack; see risk T-02 and open item E-01.</w:t>
            </w:r>
          </w:p>
        </w:tc>
      </w:tr>
      <w:tr>
        <w:tc>
          <w:tcPr>
            <w:tcW w:type="dxa" w:w="2139"/>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HTTP execution</w:t>
            </w:r>
          </w:p>
        </w:tc>
        <w:tc>
          <w:tcPr>
            <w:tcW w:type="dxa" w:w="240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httpx (async)</w:t>
            </w:r>
          </w:p>
        </w:tc>
        <w:tc>
          <w:tcPr>
            <w:tcW w:type="dxa" w:w="481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Async client matching FastAPI; supports concurrency limits, timeouts and per-environment TLS policy.</w:t>
            </w:r>
          </w:p>
        </w:tc>
      </w:tr>
      <w:tr>
        <w:tc>
          <w:tcPr>
            <w:tcW w:type="dxa" w:w="2139"/>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Schema assertions</w:t>
            </w:r>
          </w:p>
        </w:tc>
        <w:tc>
          <w:tcPr>
            <w:tcW w:type="dxa" w:w="240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jsonschema</w:t>
            </w:r>
          </w:p>
        </w:tc>
        <w:tc>
          <w:tcPr>
            <w:tcW w:type="dxa" w:w="481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Response body conformance assertions (SRS FR-EXE-03).</w:t>
            </w:r>
          </w:p>
        </w:tc>
      </w:tr>
      <w:tr>
        <w:tc>
          <w:tcPr>
            <w:tcW w:type="dxa" w:w="2139"/>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Frontend</w:t>
            </w:r>
          </w:p>
        </w:tc>
        <w:tc>
          <w:tcPr>
            <w:tcW w:type="dxa" w:w="240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Next.js with TypeScript and Tailwind</w:t>
            </w:r>
          </w:p>
        </w:tc>
        <w:tc>
          <w:tcPr>
            <w:tcW w:type="dxa" w:w="481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Server rendering for report pages; mature RTL support needed for NFR-USE-03.</w:t>
            </w:r>
          </w:p>
        </w:tc>
      </w:tr>
      <w:tr>
        <w:tc>
          <w:tcPr>
            <w:tcW w:type="dxa" w:w="2139"/>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Exports</w:t>
            </w:r>
          </w:p>
        </w:tc>
        <w:tc>
          <w:tcPr>
            <w:tcW w:type="dxa" w:w="240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openpyxl for Excel; HTML-to-PDF with an RTL-capable engine</w:t>
            </w:r>
          </w:p>
        </w:tc>
        <w:tc>
          <w:tcPr>
            <w:tcW w:type="dxa" w:w="481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PDF export must render Arabic correctly (SRS FR-RPT-07); the engine choice is gated on an RTL rendering test.</w:t>
            </w:r>
          </w:p>
        </w:tc>
      </w:tr>
      <w:tr>
        <w:tc>
          <w:tcPr>
            <w:tcW w:type="dxa" w:w="2139"/>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Containerisation</w:t>
            </w:r>
          </w:p>
        </w:tc>
        <w:tc>
          <w:tcPr>
            <w:tcW w:type="dxa" w:w="240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Docker, with Compose for on-premise and Kubernetes manifests for hosted</w:t>
            </w:r>
          </w:p>
        </w:tc>
        <w:tc>
          <w:tcPr>
            <w:tcW w:type="dxa" w:w="481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NFR-POR-01.</w:t>
            </w:r>
          </w:p>
        </w:tc>
      </w:tr>
      <w:tr>
        <w:tc>
          <w:tcPr>
            <w:tcW w:type="dxa" w:w="2139"/>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Observability</w:t>
            </w:r>
          </w:p>
        </w:tc>
        <w:tc>
          <w:tcPr>
            <w:tcW w:type="dxa" w:w="240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Structured JSON logs, OpenTelemetry traces, Prometheus metrics</w:t>
            </w:r>
          </w:p>
        </w:tc>
        <w:tc>
          <w:tcPr>
            <w:tcW w:type="dxa" w:w="481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NFR-MNT-01, NFR-MNT-02; all self-hostable.</w:t>
            </w:r>
          </w:p>
        </w:tc>
      </w:tr>
    </w:tbl>
    <w:p>
      <w:pPr>
        <w:pStyle w:val="Heading2"/>
        <w:spacing w:after="110" w:before="260"/>
      </w:pPr>
      <w:r>
        <w:rPr>
          <w:rFonts w:ascii="Calibri" w:cs="Calibri" w:eastAsia="Calibri" w:hAnsi="Calibri"/>
          <w:b/>
          <w:bCs/>
          <w:color w:val="2E75B6"/>
          <w:sz w:val="25"/>
          <w:szCs w:val="25"/>
        </w:rPr>
        <w:t xml:space="preserve">3.1 Explicitly rejected options</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2674"/>
        <w:gridCol w:w="6686"/>
      </w:tblGrid>
      <w:tr>
        <w:trPr>
          <w:tblHeader/>
        </w:trPr>
        <w:tc>
          <w:tcPr>
            <w:tcW w:type="dxa" w:w="2674"/>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Option</w:t>
            </w:r>
          </w:p>
        </w:tc>
        <w:tc>
          <w:tcPr>
            <w:tcW w:type="dxa" w:w="6686"/>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Why not, for this release</w:t>
            </w:r>
          </w:p>
        </w:tc>
      </w:tr>
      <w:tr>
        <w:tc>
          <w:tcPr>
            <w:tcW w:type="dxa" w:w="267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Microservices architecture</w:t>
            </w:r>
          </w:p>
        </w:tc>
        <w:tc>
          <w:tcPr>
            <w:tcW w:type="dxa" w:w="6686"/>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Operational cost is not justified at MVP scale and would consume most of the delivery window.</w:t>
            </w:r>
          </w:p>
        </w:tc>
      </w:tr>
      <w:tr>
        <w:tc>
          <w:tcPr>
            <w:tcW w:type="dxa" w:w="267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Selenium for execution</w:t>
            </w:r>
          </w:p>
        </w:tc>
        <w:tc>
          <w:tcPr>
            <w:tcW w:type="dxa" w:w="6686"/>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Not required — no UI testing in the MVP. Playwright is the intended choice when UI arrives in v1.</w:t>
            </w:r>
          </w:p>
        </w:tc>
      </w:tr>
      <w:tr>
        <w:tc>
          <w:tcPr>
            <w:tcW w:type="dxa" w:w="267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A vector database for requirements</w:t>
            </w:r>
          </w:p>
        </w:tc>
        <w:tc>
          <w:tcPr>
            <w:tcW w:type="dxa" w:w="6686"/>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The requirement set per project is small enough for relational retrieval plus PostgreSQL full-text search. Adding a second data store is unjustified complexity.</w:t>
            </w:r>
          </w:p>
        </w:tc>
      </w:tr>
      <w:tr>
        <w:tc>
          <w:tcPr>
            <w:tcW w:type="dxa" w:w="267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Direct SDK calls to a single model provider</w:t>
            </w:r>
          </w:p>
        </w:tc>
        <w:tc>
          <w:tcPr>
            <w:tcW w:type="dxa" w:w="6686"/>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Violates CON-02 and forecloses the on-premise sale.</w:t>
            </w:r>
          </w:p>
        </w:tc>
      </w:tr>
      <w:tr>
        <w:tc>
          <w:tcPr>
            <w:tcW w:type="dxa" w:w="267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Storing evidence payloads in the primary database without limit</w:t>
            </w:r>
          </w:p>
        </w:tc>
        <w:tc>
          <w:tcPr>
            <w:tcW w:type="dxa" w:w="6686"/>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Response bodies can be large; evidence is truncated at a configurable size with the remainder in object storage.</w:t>
            </w:r>
          </w:p>
        </w:tc>
      </w:tr>
    </w:tbl>
    <w:p>
      <w:pPr>
        <w:pStyle w:val="Heading1"/>
        <w:pageBreakBefore/>
        <w:spacing w:after="160" w:before="360"/>
      </w:pPr>
      <w:r>
        <w:rPr>
          <w:rFonts w:ascii="Calibri" w:cs="Calibri" w:eastAsia="Calibri" w:hAnsi="Calibri"/>
          <w:b/>
          <w:bCs/>
          <w:color w:val="1F4E79"/>
          <w:sz w:val="30"/>
          <w:szCs w:val="30"/>
        </w:rPr>
        <w:t xml:space="preserve">4. Component Specifications</w:t>
      </w:r>
    </w:p>
    <w:p>
      <w:pPr>
        <w:pStyle w:val="Heading2"/>
        <w:spacing w:after="110" w:before="260"/>
      </w:pPr>
      <w:r>
        <w:rPr>
          <w:rFonts w:ascii="Calibri" w:cs="Calibri" w:eastAsia="Calibri" w:hAnsi="Calibri"/>
          <w:b/>
          <w:bCs/>
          <w:color w:val="2E75B6"/>
          <w:sz w:val="25"/>
          <w:szCs w:val="25"/>
        </w:rPr>
        <w:t xml:space="preserve">4.1 Requirements Parser</w:t>
      </w:r>
    </w:p>
    <w:p>
      <w:pPr>
        <w:spacing w:after="120" w:line="276"/>
      </w:pPr>
      <w:r>
        <w:rPr>
          <w:rFonts w:ascii="Calibri" w:cs="Calibri" w:eastAsia="Calibri" w:hAnsi="Calibri"/>
          <w:b w:val="false"/>
          <w:bCs w:val="false"/>
          <w:i w:val="false"/>
          <w:iCs w:val="false"/>
          <w:color w:val="262626"/>
          <w:sz w:val="21"/>
          <w:szCs w:val="21"/>
        </w:rPr>
        <w:t xml:space="preserve">Implements SRS FR-REQ-01 to FR-REQ-10. Two-stage design: deterministic text and layout extraction, then model-based structuring.</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2139"/>
        <w:gridCol w:w="7221"/>
      </w:tblGrid>
      <w:tr>
        <w:trPr>
          <w:tblHeader/>
        </w:trPr>
        <w:tc>
          <w:tcPr>
            <w:tcW w:type="dxa" w:w="2139"/>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Aspect</w:t>
            </w:r>
          </w:p>
        </w:tc>
        <w:tc>
          <w:tcPr>
            <w:tcW w:type="dxa" w:w="7221"/>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Specification</w:t>
            </w:r>
          </w:p>
        </w:tc>
      </w:tr>
      <w:tr>
        <w:tc>
          <w:tcPr>
            <w:tcW w:type="dxa" w:w="2139"/>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Inputs</w:t>
            </w:r>
          </w:p>
        </w:tc>
        <w:tc>
          <w:tcPr>
            <w:tcW w:type="dxa" w:w="722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Source document (PDF, DOCX, Markdown), declared or detected language, project context.</w:t>
            </w:r>
          </w:p>
        </w:tc>
      </w:tr>
      <w:tr>
        <w:tc>
          <w:tcPr>
            <w:tcW w:type="dxa" w:w="2139"/>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Stage 1 — extraction</w:t>
            </w:r>
          </w:p>
        </w:tc>
        <w:tc>
          <w:tcPr>
            <w:tcW w:type="dxa" w:w="722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Extract text with positional metadata. For PDF, preserve reading order and detect tables. For Arabic, normalise presentation forms to logical order, handle bidirectional runs, and normalise Arabic-Indic to Latin numerals for numeric comparison while retaining the original text.</w:t>
            </w:r>
          </w:p>
        </w:tc>
      </w:tr>
      <w:tr>
        <w:tc>
          <w:tcPr>
            <w:tcW w:type="dxa" w:w="2139"/>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Stage 2 — segmentation</w:t>
            </w:r>
          </w:p>
        </w:tc>
        <w:tc>
          <w:tcPr>
            <w:tcW w:type="dxa" w:w="722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Split the document into candidate requirement units using structural cues — numbered clauses, headings, list items, table rows — before any model call. This bounds prompt size and improves traceability to source location.</w:t>
            </w:r>
          </w:p>
        </w:tc>
      </w:tr>
      <w:tr>
        <w:tc>
          <w:tcPr>
            <w:tcW w:type="dxa" w:w="2139"/>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Stage 3 — structuring</w:t>
            </w:r>
          </w:p>
        </w:tc>
        <w:tc>
          <w:tcPr>
            <w:tcW w:type="dxa" w:w="722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For each segment, a schema-constrained model call returns: external_id, description, acceptance_criteria[], type, priority, confidence. Output is validated against a Pydantic model; invalid responses are retried once, then flagged for manual entry.</w:t>
            </w:r>
          </w:p>
        </w:tc>
      </w:tr>
      <w:tr>
        <w:tc>
          <w:tcPr>
            <w:tcW w:type="dxa" w:w="2139"/>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Versioning</w:t>
            </w:r>
          </w:p>
        </w:tc>
        <w:tc>
          <w:tcPr>
            <w:tcW w:type="dxa" w:w="722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Each upload creates a new SourceDocument version. Requirements are matched to the previous version by external_id first, then by text similarity above a configured threshold, producing added / modified / removed classifications (FR-REQ-06).</w:t>
            </w:r>
          </w:p>
        </w:tc>
      </w:tr>
      <w:tr>
        <w:tc>
          <w:tcPr>
            <w:tcW w:type="dxa" w:w="2139"/>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Output</w:t>
            </w:r>
          </w:p>
        </w:tc>
        <w:tc>
          <w:tcPr>
            <w:tcW w:type="dxa" w:w="722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Requirement records in state Extracted, each holding a source location reference for FR-REQ-07.</w:t>
            </w:r>
          </w:p>
        </w:tc>
      </w:tr>
      <w:tr>
        <w:tc>
          <w:tcPr>
            <w:tcW w:type="dxa" w:w="2139"/>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Failure handling</w:t>
            </w:r>
          </w:p>
        </w:tc>
        <w:tc>
          <w:tcPr>
            <w:tcW w:type="dxa" w:w="722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A segment that cannot be structured is surfaced to the user as raw text for manual entry rather than silently dropped.</w:t>
            </w:r>
          </w:p>
        </w:tc>
      </w:tr>
      <w:tr>
        <w:tc>
          <w:tcPr>
            <w:tcW w:type="dxa" w:w="2139"/>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Key risk</w:t>
            </w:r>
          </w:p>
        </w:tc>
        <w:tc>
          <w:tcPr>
            <w:tcW w:type="dxa" w:w="722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Arabic layout fidelity. Must be validated against three real partner documents before build (open item E-01).</w:t>
            </w:r>
          </w:p>
        </w:tc>
      </w:tr>
    </w:tbl>
    <w:p>
      <w:pPr>
        <w:pStyle w:val="Heading2"/>
        <w:spacing w:after="110" w:before="260"/>
      </w:pPr>
      <w:r>
        <w:rPr>
          <w:rFonts w:ascii="Calibri" w:cs="Calibri" w:eastAsia="Calibri" w:hAnsi="Calibri"/>
          <w:b/>
          <w:bCs/>
          <w:color w:val="2E75B6"/>
          <w:sz w:val="25"/>
          <w:szCs w:val="25"/>
        </w:rPr>
        <w:t xml:space="preserve">4.2 Discovery Engine</w:t>
      </w:r>
    </w:p>
    <w:p>
      <w:pPr>
        <w:spacing w:after="120" w:line="276"/>
      </w:pPr>
      <w:r>
        <w:rPr>
          <w:rFonts w:ascii="Calibri" w:cs="Calibri" w:eastAsia="Calibri" w:hAnsi="Calibri"/>
          <w:b w:val="false"/>
          <w:bCs w:val="false"/>
          <w:i w:val="false"/>
          <w:iCs w:val="false"/>
          <w:color w:val="262626"/>
          <w:sz w:val="21"/>
          <w:szCs w:val="21"/>
        </w:rPr>
        <w:t xml:space="preserve">Implements SRS FR-DSC-01 to FR-DSC-07. Deterministic; no model involvement. This is what makes grounding possible.</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2139"/>
        <w:gridCol w:w="7221"/>
      </w:tblGrid>
      <w:tr>
        <w:trPr>
          <w:tblHeader/>
        </w:trPr>
        <w:tc>
          <w:tcPr>
            <w:tcW w:type="dxa" w:w="2139"/>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Aspect</w:t>
            </w:r>
          </w:p>
        </w:tc>
        <w:tc>
          <w:tcPr>
            <w:tcW w:type="dxa" w:w="7221"/>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Specification</w:t>
            </w:r>
          </w:p>
        </w:tc>
      </w:tr>
      <w:tr>
        <w:tc>
          <w:tcPr>
            <w:tcW w:type="dxa" w:w="2139"/>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Inputs</w:t>
            </w:r>
          </w:p>
        </w:tc>
        <w:tc>
          <w:tcPr>
            <w:tcW w:type="dxa" w:w="722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OpenAPI 3.0/3.1 or Swagger 2.0, JSON or YAML, by upload or URL fetch.</w:t>
            </w:r>
          </w:p>
        </w:tc>
      </w:tr>
      <w:tr>
        <w:tc>
          <w:tcPr>
            <w:tcW w:type="dxa" w:w="2139"/>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Processing</w:t>
            </w:r>
          </w:p>
        </w:tc>
        <w:tc>
          <w:tcPr>
            <w:tcW w:type="dxa" w:w="722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Structural validation; resolution of internal $ref; normalisation of Swagger 2.0 into the OpenAPI 3 shape; flattening of each operation into an Endpoint record.</w:t>
            </w:r>
          </w:p>
        </w:tc>
      </w:tr>
      <w:tr>
        <w:tc>
          <w:tcPr>
            <w:tcW w:type="dxa" w:w="2139"/>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Endpoint record</w:t>
            </w:r>
          </w:p>
        </w:tc>
        <w:tc>
          <w:tcPr>
            <w:tcW w:type="dxa" w:w="722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method, path, operation_id, summary, parameters (name, location, type, required, constraints), request body schema, response schemas by status code, security requirements, tags.</w:t>
            </w:r>
          </w:p>
        </w:tc>
      </w:tr>
      <w:tr>
        <w:tc>
          <w:tcPr>
            <w:tcW w:type="dxa" w:w="2139"/>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Constraint capture</w:t>
            </w:r>
          </w:p>
        </w:tc>
        <w:tc>
          <w:tcPr>
            <w:tcW w:type="dxa" w:w="722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Type, format, minimum, maximum, minLength, maxLength, pattern and enum are captured explicitly — these are the direct inputs to boundary value analysis in the generator.</w:t>
            </w:r>
          </w:p>
        </w:tc>
      </w:tr>
      <w:tr>
        <w:tc>
          <w:tcPr>
            <w:tcW w:type="dxa" w:w="2139"/>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Partial failure</w:t>
            </w:r>
          </w:p>
        </w:tc>
        <w:tc>
          <w:tcPr>
            <w:tcW w:type="dxa" w:w="722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An operation that cannot be resolved is recorded with an error and excluded from generation; the import as a whole does not fail (FR-DSC-04).</w:t>
            </w:r>
          </w:p>
        </w:tc>
      </w:tr>
      <w:tr>
        <w:tc>
          <w:tcPr>
            <w:tcW w:type="dxa" w:w="2139"/>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Versioning</w:t>
            </w:r>
          </w:p>
        </w:tc>
        <w:tc>
          <w:tcPr>
            <w:tcW w:type="dxa" w:w="722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Re-import creates a new ApiSpec version and produces an operation-level diff (FR-DSC-06).</w:t>
            </w:r>
          </w:p>
        </w:tc>
      </w:tr>
      <w:tr>
        <w:tc>
          <w:tcPr>
            <w:tcW w:type="dxa" w:w="2139"/>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Security note</w:t>
            </w:r>
          </w:p>
        </w:tc>
        <w:tc>
          <w:tcPr>
            <w:tcW w:type="dxa" w:w="722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URL fetching must be protected against server-side request forgery: private address ranges and cloud metadata endpoints are blocked, redirects are limited, and the fetch is size- and time-bounded.</w:t>
            </w:r>
          </w:p>
        </w:tc>
      </w:tr>
    </w:tbl>
    <w:p>
      <w:pPr>
        <w:pStyle w:val="Heading2"/>
        <w:spacing w:after="110" w:before="260"/>
      </w:pPr>
      <w:r>
        <w:rPr>
          <w:rFonts w:ascii="Calibri" w:cs="Calibri" w:eastAsia="Calibri" w:hAnsi="Calibri"/>
          <w:b/>
          <w:bCs/>
          <w:color w:val="2E75B6"/>
          <w:sz w:val="25"/>
          <w:szCs w:val="25"/>
        </w:rPr>
        <w:t xml:space="preserve">4.3 Requirement–Endpoint Mapper</w:t>
      </w:r>
    </w:p>
    <w:p>
      <w:pPr>
        <w:spacing w:after="120" w:line="276"/>
      </w:pPr>
      <w:r>
        <w:rPr>
          <w:rFonts w:ascii="Calibri" w:cs="Calibri" w:eastAsia="Calibri" w:hAnsi="Calibri"/>
          <w:b w:val="false"/>
          <w:bCs w:val="false"/>
          <w:i w:val="false"/>
          <w:iCs w:val="false"/>
          <w:color w:val="262626"/>
          <w:sz w:val="21"/>
          <w:szCs w:val="21"/>
        </w:rPr>
        <w:t xml:space="preserve">Implements SRS FR-GEN-13. Runs before generation and determines which endpoints a requirement may legitimately concern.</w:t>
      </w:r>
    </w:p>
    <w:p>
      <w:pPr>
        <w:pStyle w:val="ListParagraph"/>
        <w:numPr>
          <w:ilvl w:val="0"/>
          <w:numId w:val="2"/>
        </w:numPr>
        <w:spacing w:after="70" w:line="268"/>
      </w:pPr>
      <w:r>
        <w:rPr>
          <w:rFonts w:ascii="Calibri" w:cs="Calibri" w:eastAsia="Calibri" w:hAnsi="Calibri"/>
          <w:b w:val="false"/>
          <w:bCs w:val="false"/>
          <w:i w:val="false"/>
          <w:iCs w:val="false"/>
          <w:color w:val="262626"/>
          <w:sz w:val="21"/>
          <w:szCs w:val="21"/>
        </w:rPr>
        <w:t xml:space="preserve">Candidate retrieval combines lexical matching (requirement text against operation summary, path segments, tags, parameter names) with embedding similarity where available.</w:t>
      </w:r>
    </w:p>
    <w:p>
      <w:pPr>
        <w:pStyle w:val="ListParagraph"/>
        <w:numPr>
          <w:ilvl w:val="0"/>
          <w:numId w:val="2"/>
        </w:numPr>
        <w:spacing w:after="70" w:line="268"/>
      </w:pPr>
      <w:r>
        <w:rPr>
          <w:rFonts w:ascii="Calibri" w:cs="Calibri" w:eastAsia="Calibri" w:hAnsi="Calibri"/>
          <w:b w:val="false"/>
          <w:bCs w:val="false"/>
          <w:i w:val="false"/>
          <w:iCs w:val="false"/>
          <w:color w:val="262626"/>
          <w:sz w:val="21"/>
          <w:szCs w:val="21"/>
        </w:rPr>
        <w:t xml:space="preserve">The model is asked to select from the retrieved candidate list, and may not name an endpoint outside it. The prompt receives a closed list; the response schema is an index into that list.</w:t>
      </w:r>
    </w:p>
    <w:p>
      <w:pPr>
        <w:pStyle w:val="ListParagraph"/>
        <w:numPr>
          <w:ilvl w:val="0"/>
          <w:numId w:val="2"/>
        </w:numPr>
        <w:spacing w:after="70" w:line="268"/>
      </w:pPr>
      <w:r>
        <w:rPr>
          <w:rFonts w:ascii="Calibri" w:cs="Calibri" w:eastAsia="Calibri" w:hAnsi="Calibri"/>
          <w:b w:val="false"/>
          <w:bCs w:val="false"/>
          <w:i w:val="false"/>
          <w:iCs w:val="false"/>
          <w:color w:val="262626"/>
          <w:sz w:val="21"/>
          <w:szCs w:val="21"/>
        </w:rPr>
        <w:t xml:space="preserve">Where no candidate exceeds the confidence threshold, the requirement is recorded as unmappable and appears in the coverage gap list with that reason. It is never handed to the generator.</w:t>
      </w:r>
    </w:p>
    <w:p>
      <w:pPr>
        <w:pStyle w:val="ListParagraph"/>
        <w:numPr>
          <w:ilvl w:val="0"/>
          <w:numId w:val="2"/>
        </w:numPr>
        <w:spacing w:after="70" w:line="268"/>
      </w:pPr>
      <w:r>
        <w:rPr>
          <w:rFonts w:ascii="Calibri" w:cs="Calibri" w:eastAsia="Calibri" w:hAnsi="Calibri"/>
          <w:b w:val="false"/>
          <w:bCs w:val="false"/>
          <w:i w:val="false"/>
          <w:iCs w:val="false"/>
          <w:color w:val="262626"/>
          <w:sz w:val="21"/>
          <w:szCs w:val="21"/>
        </w:rPr>
        <w:t xml:space="preserve">Mapping decisions are persisted with their confidence so that a reviewer can correct them, and so that threshold tuning can be evaluated against real data.</w:t>
      </w:r>
    </w:p>
    <w:p>
      <w:pPr>
        <w:pStyle w:val="Heading2"/>
        <w:spacing w:after="110" w:before="260"/>
      </w:pPr>
      <w:r>
        <w:rPr>
          <w:rFonts w:ascii="Calibri" w:cs="Calibri" w:eastAsia="Calibri" w:hAnsi="Calibri"/>
          <w:b/>
          <w:bCs/>
          <w:color w:val="2E75B6"/>
          <w:sz w:val="25"/>
          <w:szCs w:val="25"/>
        </w:rPr>
        <w:t xml:space="preserve">4.4 Test Generator</w:t>
      </w:r>
    </w:p>
    <w:p>
      <w:pPr>
        <w:spacing w:after="120" w:line="276"/>
      </w:pPr>
      <w:r>
        <w:rPr>
          <w:rFonts w:ascii="Calibri" w:cs="Calibri" w:eastAsia="Calibri" w:hAnsi="Calibri"/>
          <w:b w:val="false"/>
          <w:bCs w:val="false"/>
          <w:i w:val="false"/>
          <w:iCs w:val="false"/>
          <w:color w:val="262626"/>
          <w:sz w:val="21"/>
          <w:szCs w:val="21"/>
        </w:rPr>
        <w:t xml:space="preserve">Implements SRS FR-GEN-01 to FR-GEN-12. The generator is a constrained pipeline, not a free-form prompt.</w:t>
      </w:r>
    </w:p>
    <w:p>
      <w:pPr>
        <w:pStyle w:val="Heading3"/>
        <w:spacing w:after="90" w:before="200"/>
      </w:pPr>
      <w:r>
        <w:rPr>
          <w:rFonts w:ascii="Calibri" w:cs="Calibri" w:eastAsia="Calibri" w:hAnsi="Calibri"/>
          <w:b/>
          <w:bCs/>
          <w:color w:val="404040"/>
          <w:sz w:val="22"/>
          <w:szCs w:val="22"/>
        </w:rPr>
        <w:t xml:space="preserve">Inputs assembled per requirement</w:t>
      </w:r>
    </w:p>
    <w:p>
      <w:pPr>
        <w:pStyle w:val="ListParagraph"/>
        <w:numPr>
          <w:ilvl w:val="0"/>
          <w:numId w:val="2"/>
        </w:numPr>
        <w:spacing w:after="70" w:line="268"/>
      </w:pPr>
      <w:r>
        <w:rPr>
          <w:rFonts w:ascii="Calibri" w:cs="Calibri" w:eastAsia="Calibri" w:hAnsi="Calibri"/>
          <w:b w:val="false"/>
          <w:bCs w:val="false"/>
          <w:i w:val="false"/>
          <w:iCs w:val="false"/>
          <w:color w:val="262626"/>
          <w:sz w:val="21"/>
          <w:szCs w:val="21"/>
        </w:rPr>
        <w:t xml:space="preserve">The requirement description and acceptance criteria.</w:t>
      </w:r>
    </w:p>
    <w:p>
      <w:pPr>
        <w:pStyle w:val="ListParagraph"/>
        <w:numPr>
          <w:ilvl w:val="0"/>
          <w:numId w:val="2"/>
        </w:numPr>
        <w:spacing w:after="70" w:line="268"/>
      </w:pPr>
      <w:r>
        <w:rPr>
          <w:rFonts w:ascii="Calibri" w:cs="Calibri" w:eastAsia="Calibri" w:hAnsi="Calibri"/>
          <w:b w:val="false"/>
          <w:bCs w:val="false"/>
          <w:i w:val="false"/>
          <w:iCs w:val="false"/>
          <w:color w:val="262626"/>
          <w:sz w:val="21"/>
          <w:szCs w:val="21"/>
        </w:rPr>
        <w:t xml:space="preserve">The mapped endpoints in full: parameters, constraints, request and response schemas, security.</w:t>
      </w:r>
    </w:p>
    <w:p>
      <w:pPr>
        <w:pStyle w:val="ListParagraph"/>
        <w:numPr>
          <w:ilvl w:val="0"/>
          <w:numId w:val="2"/>
        </w:numPr>
        <w:spacing w:after="70" w:line="268"/>
      </w:pPr>
      <w:r>
        <w:rPr>
          <w:rFonts w:ascii="Calibri" w:cs="Calibri" w:eastAsia="Calibri" w:hAnsi="Calibri"/>
          <w:b w:val="false"/>
          <w:bCs w:val="false"/>
          <w:i w:val="false"/>
          <w:iCs w:val="false"/>
          <w:color w:val="262626"/>
          <w:sz w:val="21"/>
          <w:szCs w:val="21"/>
        </w:rPr>
        <w:t xml:space="preserve">A derived list of test conditions produced deterministically from the schema constraints — for each bounded field, the boundary set; for each enum, the valid and invalid classes; for each required field, the omission case.</w:t>
      </w:r>
    </w:p>
    <w:p>
      <w:pPr>
        <w:pStyle w:val="ListParagraph"/>
        <w:numPr>
          <w:ilvl w:val="0"/>
          <w:numId w:val="2"/>
        </w:numPr>
        <w:spacing w:after="70" w:line="268"/>
      </w:pPr>
      <w:r>
        <w:rPr>
          <w:rFonts w:ascii="Calibri" w:cs="Calibri" w:eastAsia="Calibri" w:hAnsi="Calibri"/>
          <w:b w:val="false"/>
          <w:bCs w:val="false"/>
          <w:i w:val="false"/>
          <w:iCs w:val="false"/>
          <w:color w:val="262626"/>
          <w:sz w:val="21"/>
          <w:szCs w:val="21"/>
        </w:rPr>
        <w:t xml:space="preserve">The versioned prompt template for the applicable technique.</w:t>
      </w:r>
    </w:p>
    <w:p>
      <w:pPr>
        <w:pStyle w:val="Heading3"/>
        <w:spacing w:after="90" w:before="200"/>
      </w:pPr>
      <w:r>
        <w:rPr>
          <w:rFonts w:ascii="Calibri" w:cs="Calibri" w:eastAsia="Calibri" w:hAnsi="Calibri"/>
          <w:b/>
          <w:bCs/>
          <w:color w:val="404040"/>
          <w:sz w:val="22"/>
          <w:szCs w:val="22"/>
        </w:rPr>
        <w:t xml:space="preserve">Design technique application</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2273"/>
        <w:gridCol w:w="7087"/>
      </w:tblGrid>
      <w:tr>
        <w:trPr>
          <w:tblHeader/>
        </w:trPr>
        <w:tc>
          <w:tcPr>
            <w:tcW w:type="dxa" w:w="2273"/>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Technique</w:t>
            </w:r>
          </w:p>
        </w:tc>
        <w:tc>
          <w:tcPr>
            <w:tcW w:type="dxa" w:w="7087"/>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Implementation</w:t>
            </w:r>
          </w:p>
        </w:tc>
      </w:tr>
      <w:tr>
        <w:tc>
          <w:tcPr>
            <w:tcW w:type="dxa" w:w="2273"/>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Equivalence partitioning</w:t>
            </w:r>
          </w:p>
        </w:tc>
        <w:tc>
          <w:tcPr>
            <w:tcW w:type="dxa" w:w="708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For each constrained input, the system derives valid and invalid classes from the schema and requires at least one case per class. Class derivation is deterministic; the model supplies representative values and expected outcomes.</w:t>
            </w:r>
          </w:p>
        </w:tc>
      </w:tr>
      <w:tr>
        <w:tc>
          <w:tcPr>
            <w:tcW w:type="dxa" w:w="2273"/>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Boundary value analysis</w:t>
            </w:r>
          </w:p>
        </w:tc>
        <w:tc>
          <w:tcPr>
            <w:tcW w:type="dxa" w:w="708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For each numeric range, string length bound or date range, the system generates the min, min+1, max−1 and max cases from the schema before calling the model. The model is not trusted to identify boundaries; it is given them.</w:t>
            </w:r>
          </w:p>
        </w:tc>
      </w:tr>
      <w:tr>
        <w:tc>
          <w:tcPr>
            <w:tcW w:type="dxa" w:w="2273"/>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Decision tables</w:t>
            </w:r>
          </w:p>
        </w:tc>
        <w:tc>
          <w:tcPr>
            <w:tcW w:type="dxa" w:w="708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Where a requirement expresses two or more conditions determining an outcome, the conditions are extracted, the feasible combinations enumerated in code, and the model asked only to express each combination as a concrete request and expected result.</w:t>
            </w:r>
          </w:p>
        </w:tc>
      </w:tr>
      <w:tr>
        <w:tc>
          <w:tcPr>
            <w:tcW w:type="dxa" w:w="2273"/>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Negative cases</w:t>
            </w:r>
          </w:p>
        </w:tc>
        <w:tc>
          <w:tcPr>
            <w:tcW w:type="dxa" w:w="708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Missing required parameters, type violations, unauthenticated access to a secured operation, and malformed bodies are generated from the endpoint record directly, with the model supplying only the expected error semantics.</w:t>
            </w:r>
          </w:p>
        </w:tc>
      </w:tr>
    </w:tbl>
    <w:p>
      <w:pPr>
        <w:spacing w:after="120" w:line="276"/>
      </w:pPr>
      <w:r>
        <w:rPr>
          <w:rFonts w:ascii="Calibri" w:cs="Calibri" w:eastAsia="Calibri" w:hAnsi="Calibri"/>
          <w:b w:val="false"/>
          <w:bCs w:val="false"/>
          <w:i/>
          <w:iCs/>
          <w:color w:val="262626"/>
          <w:sz w:val="21"/>
          <w:szCs w:val="21"/>
        </w:rPr>
        <w:t xml:space="preserve">The pattern throughout is the same: derive the test conditions deterministically from discovered artefacts, and use the model only to express them in natural language and concrete values. This is what keeps output defensible to an experienced QA reviewer and bounds the failure mode when the model is wrong.</w:t>
      </w:r>
    </w:p>
    <w:p>
      <w:pPr>
        <w:pStyle w:val="Heading2"/>
        <w:spacing w:after="110" w:before="260"/>
      </w:pPr>
      <w:r>
        <w:rPr>
          <w:rFonts w:ascii="Calibri" w:cs="Calibri" w:eastAsia="Calibri" w:hAnsi="Calibri"/>
          <w:b/>
          <w:bCs/>
          <w:color w:val="2E75B6"/>
          <w:sz w:val="25"/>
          <w:szCs w:val="25"/>
        </w:rPr>
        <w:t xml:space="preserve">4.5 Grounding Validator</w:t>
      </w:r>
    </w:p>
    <w:p>
      <w:pPr>
        <w:spacing w:after="120" w:line="276"/>
      </w:pPr>
      <w:r>
        <w:rPr>
          <w:rFonts w:ascii="Calibri" w:cs="Calibri" w:eastAsia="Calibri" w:hAnsi="Calibri"/>
          <w:b w:val="false"/>
          <w:bCs w:val="false"/>
          <w:i w:val="false"/>
          <w:iCs w:val="false"/>
          <w:color w:val="262626"/>
          <w:sz w:val="21"/>
          <w:szCs w:val="21"/>
        </w:rPr>
        <w:t xml:space="preserve">Implements SRS FR-GEN-06 and NFR-REL-04. This component is the trust gate; it is specified separately because it must not be treated as an optional post-processing step.</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2006"/>
        <w:gridCol w:w="7354"/>
      </w:tblGrid>
      <w:tr>
        <w:trPr>
          <w:tblHeader/>
        </w:trPr>
        <w:tc>
          <w:tcPr>
            <w:tcW w:type="dxa" w:w="2006"/>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Check</w:t>
            </w:r>
          </w:p>
        </w:tc>
        <w:tc>
          <w:tcPr>
            <w:tcW w:type="dxa" w:w="7354"/>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Rule</w:t>
            </w:r>
          </w:p>
        </w:tc>
      </w:tr>
      <w:tr>
        <w:tc>
          <w:tcPr>
            <w:tcW w:type="dxa" w:w="2006"/>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Schema conformance</w:t>
            </w:r>
          </w:p>
        </w:tc>
        <w:tc>
          <w:tcPr>
            <w:tcW w:type="dxa" w:w="73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The model response must parse into the declared test case schema. A response that does not is retried once with the validation error, then discarded.</w:t>
            </w:r>
          </w:p>
        </w:tc>
      </w:tr>
      <w:tr>
        <w:tc>
          <w:tcPr>
            <w:tcW w:type="dxa" w:w="2006"/>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Endpoint existence</w:t>
            </w:r>
          </w:p>
        </w:tc>
        <w:tc>
          <w:tcPr>
            <w:tcW w:type="dxa" w:w="735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Every step must reference an endpoint present in the current inventory version by method and path. No exceptions, no fuzzy matching.</w:t>
            </w:r>
          </w:p>
        </w:tc>
      </w:tr>
      <w:tr>
        <w:tc>
          <w:tcPr>
            <w:tcW w:type="dxa" w:w="2006"/>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Parameter existence</w:t>
            </w:r>
          </w:p>
        </w:tc>
        <w:tc>
          <w:tcPr>
            <w:tcW w:type="dxa" w:w="73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Every parameter named in a step must exist on that endpoint, in the location claimed.</w:t>
            </w:r>
          </w:p>
        </w:tc>
      </w:tr>
      <w:tr>
        <w:tc>
          <w:tcPr>
            <w:tcW w:type="dxa" w:w="2006"/>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Body field existence</w:t>
            </w:r>
          </w:p>
        </w:tc>
        <w:tc>
          <w:tcPr>
            <w:tcW w:type="dxa" w:w="735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Every field in a request body must exist in that endpoint’s request schema, including nested paths.</w:t>
            </w:r>
          </w:p>
        </w:tc>
      </w:tr>
      <w:tr>
        <w:tc>
          <w:tcPr>
            <w:tcW w:type="dxa" w:w="2006"/>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Assertion target validity</w:t>
            </w:r>
          </w:p>
        </w:tc>
        <w:tc>
          <w:tcPr>
            <w:tcW w:type="dxa" w:w="73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Every asserted response field must exist in a declared response schema for that operation, or be a header or timing assertion.</w:t>
            </w:r>
          </w:p>
        </w:tc>
      </w:tr>
      <w:tr>
        <w:tc>
          <w:tcPr>
            <w:tcW w:type="dxa" w:w="2006"/>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Requirement link</w:t>
            </w:r>
          </w:p>
        </w:tc>
        <w:tc>
          <w:tcPr>
            <w:tcW w:type="dxa" w:w="735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At least one link to an existing, confirmed requirement must be present (FR-GEN-02).</w:t>
            </w:r>
          </w:p>
        </w:tc>
      </w:tr>
      <w:tr>
        <w:tc>
          <w:tcPr>
            <w:tcW w:type="dxa" w:w="2006"/>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Outcome</w:t>
            </w:r>
          </w:p>
        </w:tc>
        <w:tc>
          <w:tcPr>
            <w:tcW w:type="dxa" w:w="735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A case failing any check is discarded, not repaired. Discards are counted per generation batch and reported to the user, and are emitted as a metric so a regression in grounding quality is visible immediately.</w:t>
            </w:r>
          </w:p>
        </w:tc>
      </w:tr>
    </w:tbl>
    <w:p>
      <w:pPr>
        <w:spacing w:after="120" w:line="276"/>
      </w:pPr>
      <w:r>
        <w:rPr>
          <w:rFonts w:ascii="Calibri" w:cs="Calibri" w:eastAsia="Calibri" w:hAnsi="Calibri"/>
          <w:b w:val="false"/>
          <w:bCs w:val="false"/>
          <w:i w:val="false"/>
          <w:iCs w:val="false"/>
          <w:color w:val="262626"/>
          <w:sz w:val="21"/>
          <w:szCs w:val="21"/>
        </w:rPr>
        <w:t xml:space="preserve">The automated tests covering this component are a release gate (SRS NFR-MNT-04). A build in which a fabricated endpoint reaches persistence does not ship.</w:t>
      </w:r>
    </w:p>
    <w:p>
      <w:pPr>
        <w:pStyle w:val="Heading2"/>
        <w:spacing w:after="110" w:before="260"/>
      </w:pPr>
      <w:r>
        <w:rPr>
          <w:rFonts w:ascii="Calibri" w:cs="Calibri" w:eastAsia="Calibri" w:hAnsi="Calibri"/>
          <w:b/>
          <w:bCs/>
          <w:color w:val="2E75B6"/>
          <w:sz w:val="25"/>
          <w:szCs w:val="25"/>
        </w:rPr>
        <w:t xml:space="preserve">4.6 Execution Engine</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2139"/>
        <w:gridCol w:w="7221"/>
      </w:tblGrid>
      <w:tr>
        <w:trPr>
          <w:tblHeader/>
        </w:trPr>
        <w:tc>
          <w:tcPr>
            <w:tcW w:type="dxa" w:w="2139"/>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Aspect</w:t>
            </w:r>
          </w:p>
        </w:tc>
        <w:tc>
          <w:tcPr>
            <w:tcW w:type="dxa" w:w="7221"/>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Specification</w:t>
            </w:r>
          </w:p>
        </w:tc>
      </w:tr>
      <w:tr>
        <w:tc>
          <w:tcPr>
            <w:tcW w:type="dxa" w:w="2139"/>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Orchestration</w:t>
            </w:r>
          </w:p>
        </w:tc>
        <w:tc>
          <w:tcPr>
            <w:tcW w:type="dxa" w:w="722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A run is a Celery job that fans out to per-test-case tasks with a per-environment concurrency limit. Partial results stream to the database as cases complete (FR-EXE-01, FR-EXE-09).</w:t>
            </w:r>
          </w:p>
        </w:tc>
      </w:tr>
      <w:tr>
        <w:tc>
          <w:tcPr>
            <w:tcW w:type="dxa" w:w="2139"/>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Authentication</w:t>
            </w:r>
          </w:p>
        </w:tc>
        <w:tc>
          <w:tcPr>
            <w:tcW w:type="dxa" w:w="722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Acquired once per run by the environment’s configured scheme; the resulting token is held in memory for the run’s lifetime and never persisted. Failure aborts the run with one diagnostic (FR-EXE-04).</w:t>
            </w:r>
          </w:p>
        </w:tc>
      </w:tr>
      <w:tr>
        <w:tc>
          <w:tcPr>
            <w:tcW w:type="dxa" w:w="2139"/>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Step execution</w:t>
            </w:r>
          </w:p>
        </w:tc>
        <w:tc>
          <w:tcPr>
            <w:tcW w:type="dxa" w:w="722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Ordered per case, halting on first assertion failure. Variable interpolation resolves project variables, environment variables and values extracted from earlier steps in the same case (FR-EXE-05).</w:t>
            </w:r>
          </w:p>
        </w:tc>
      </w:tr>
      <w:tr>
        <w:tc>
          <w:tcPr>
            <w:tcW w:type="dxa" w:w="2139"/>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Assertions</w:t>
            </w:r>
          </w:p>
        </w:tc>
        <w:tc>
          <w:tcPr>
            <w:tcW w:type="dxa" w:w="722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Status code, JSON Schema conformance of the response body, field value comparison (equality, inequality, ordering, containment, regular expression), field presence or absence, header value, and response time threshold (FR-EXE-03).</w:t>
            </w:r>
          </w:p>
        </w:tc>
      </w:tr>
      <w:tr>
        <w:tc>
          <w:tcPr>
            <w:tcW w:type="dxa" w:w="2139"/>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Test data</w:t>
            </w:r>
          </w:p>
        </w:tc>
        <w:tc>
          <w:tcPr>
            <w:tcW w:type="dxa" w:w="722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Optional setup and teardown steps per case. Teardown executes even when the case fails, and its failures are recorded separately so they do not mask the result (FR-EXE-06).</w:t>
            </w:r>
          </w:p>
        </w:tc>
      </w:tr>
      <w:tr>
        <w:tc>
          <w:tcPr>
            <w:tcW w:type="dxa" w:w="2139"/>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Evidence</w:t>
            </w:r>
          </w:p>
        </w:tc>
        <w:tc>
          <w:tcPr>
            <w:tcW w:type="dxa" w:w="722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Request method, URL, headers and body with secrets redacted before persistence; response status, headers and body truncated at a configurable size; elapsed time; per-assertion outcome (FR-EXE-07, NFR-SEC-03).</w:t>
            </w:r>
          </w:p>
        </w:tc>
      </w:tr>
      <w:tr>
        <w:tc>
          <w:tcPr>
            <w:tcW w:type="dxa" w:w="2139"/>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Isolation</w:t>
            </w:r>
          </w:p>
        </w:tc>
        <w:tc>
          <w:tcPr>
            <w:tcW w:type="dxa" w:w="722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Workers run in containers with an egress policy restricted to configured environment hosts. Untrusted response content is never evaluated or executed.</w:t>
            </w:r>
          </w:p>
        </w:tc>
      </w:tr>
      <w:tr>
        <w:tc>
          <w:tcPr>
            <w:tcW w:type="dxa" w:w="2139"/>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Timeouts</w:t>
            </w:r>
          </w:p>
        </w:tc>
        <w:tc>
          <w:tcPr>
            <w:tcW w:type="dxa" w:w="722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Per-request and per-run limits; breaches mark cases Errored, distinct from Failed (FR-EXE-08, FR-EXE-11).</w:t>
            </w:r>
          </w:p>
        </w:tc>
      </w:tr>
      <w:tr>
        <w:tc>
          <w:tcPr>
            <w:tcW w:type="dxa" w:w="2139"/>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Idempotency</w:t>
            </w:r>
          </w:p>
        </w:tc>
        <w:tc>
          <w:tcPr>
            <w:tcW w:type="dxa" w:w="722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Each case task carries a unique key; a retried task does not create a duplicate result (NFR-REL-05).</w:t>
            </w:r>
          </w:p>
        </w:tc>
      </w:tr>
    </w:tbl>
    <w:p>
      <w:pPr>
        <w:pStyle w:val="Heading2"/>
        <w:spacing w:after="110" w:before="260"/>
      </w:pPr>
      <w:r>
        <w:rPr>
          <w:rFonts w:ascii="Calibri" w:cs="Calibri" w:eastAsia="Calibri" w:hAnsi="Calibri"/>
          <w:b/>
          <w:bCs/>
          <w:color w:val="2E75B6"/>
          <w:sz w:val="25"/>
          <w:szCs w:val="25"/>
        </w:rPr>
        <w:t xml:space="preserve">4.7 Traceability Engine</w:t>
      </w:r>
    </w:p>
    <w:p>
      <w:pPr>
        <w:pStyle w:val="ListParagraph"/>
        <w:numPr>
          <w:ilvl w:val="0"/>
          <w:numId w:val="2"/>
        </w:numPr>
        <w:spacing w:after="70" w:line="268"/>
      </w:pPr>
      <w:r>
        <w:rPr>
          <w:rFonts w:ascii="Calibri" w:cs="Calibri" w:eastAsia="Calibri" w:hAnsi="Calibri"/>
          <w:b w:val="false"/>
          <w:bCs w:val="false"/>
          <w:i w:val="false"/>
          <w:iCs w:val="false"/>
          <w:color w:val="262626"/>
          <w:sz w:val="21"/>
          <w:szCs w:val="21"/>
        </w:rPr>
        <w:t xml:space="preserve">The matrix is computed by query over requirement, requirement_test_case, test_case and the latest test_result per case, materialised into a per-project view refreshed on run completion and on approval changes. Direct computation is retained as the source of truth; the materialised view exists only to satisfy NFR-PERF-05.</w:t>
      </w:r>
    </w:p>
    <w:p>
      <w:pPr>
        <w:pStyle w:val="ListParagraph"/>
        <w:numPr>
          <w:ilvl w:val="0"/>
          <w:numId w:val="2"/>
        </w:numPr>
        <w:spacing w:after="70" w:line="268"/>
      </w:pPr>
      <w:r>
        <w:rPr>
          <w:rFonts w:ascii="Calibri" w:cs="Calibri" w:eastAsia="Calibri" w:hAnsi="Calibri"/>
          <w:b w:val="false"/>
          <w:bCs w:val="false"/>
          <w:i w:val="false"/>
          <w:iCs w:val="false"/>
          <w:color w:val="262626"/>
          <w:sz w:val="21"/>
          <w:szCs w:val="21"/>
        </w:rPr>
        <w:t xml:space="preserve">Coverage percentage counts confirmed requirements with at least one Approved linked case, divided by all confirmed requirements. Stale, Draft and Rejected cases do not count as coverage (FR-TRC-03, FR-TRC-04).</w:t>
      </w:r>
    </w:p>
    <w:p>
      <w:pPr>
        <w:pStyle w:val="ListParagraph"/>
        <w:numPr>
          <w:ilvl w:val="0"/>
          <w:numId w:val="2"/>
        </w:numPr>
        <w:spacing w:after="70" w:line="268"/>
      </w:pPr>
      <w:r>
        <w:rPr>
          <w:rFonts w:ascii="Calibri" w:cs="Calibri" w:eastAsia="Calibri" w:hAnsi="Calibri"/>
          <w:b w:val="false"/>
          <w:bCs w:val="false"/>
          <w:i w:val="false"/>
          <w:iCs w:val="false"/>
          <w:color w:val="262626"/>
          <w:sz w:val="21"/>
          <w:szCs w:val="21"/>
        </w:rPr>
        <w:t xml:space="preserve">Staleness is triggered by the requirement versioning event: when a requirement version increments with a material change, every Approved case linked to it transitions to Stale and is queued for re-review. The transition is recorded in the audit log.</w:t>
      </w:r>
    </w:p>
    <w:p>
      <w:pPr>
        <w:pStyle w:val="ListParagraph"/>
        <w:numPr>
          <w:ilvl w:val="0"/>
          <w:numId w:val="2"/>
        </w:numPr>
        <w:spacing w:after="70" w:line="268"/>
      </w:pPr>
      <w:r>
        <w:rPr>
          <w:rFonts w:ascii="Calibri" w:cs="Calibri" w:eastAsia="Calibri" w:hAnsi="Calibri"/>
          <w:b w:val="false"/>
          <w:bCs w:val="false"/>
          <w:i w:val="false"/>
          <w:iCs w:val="false"/>
          <w:color w:val="262626"/>
          <w:sz w:val="21"/>
          <w:szCs w:val="21"/>
        </w:rPr>
        <w:t xml:space="preserve">Unmappable requirements from section 4.3 appear in the gap list with a distinct reason code, since their remedy differs from a simple missing test.</w:t>
      </w:r>
    </w:p>
    <w:p>
      <w:pPr>
        <w:pStyle w:val="Heading2"/>
        <w:spacing w:after="110" w:before="260"/>
      </w:pPr>
      <w:r>
        <w:rPr>
          <w:rFonts w:ascii="Calibri" w:cs="Calibri" w:eastAsia="Calibri" w:hAnsi="Calibri"/>
          <w:b/>
          <w:bCs/>
          <w:color w:val="2E75B6"/>
          <w:sz w:val="25"/>
          <w:szCs w:val="25"/>
        </w:rPr>
        <w:t xml:space="preserve">4.8 Reporting Engine</w:t>
      </w:r>
    </w:p>
    <w:p>
      <w:pPr>
        <w:pStyle w:val="ListParagraph"/>
        <w:numPr>
          <w:ilvl w:val="0"/>
          <w:numId w:val="2"/>
        </w:numPr>
        <w:spacing w:after="70" w:line="268"/>
      </w:pPr>
      <w:r>
        <w:rPr>
          <w:rFonts w:ascii="Calibri" w:cs="Calibri" w:eastAsia="Calibri" w:hAnsi="Calibri"/>
          <w:b w:val="false"/>
          <w:bCs w:val="false"/>
          <w:i w:val="false"/>
          <w:iCs w:val="false"/>
          <w:color w:val="262626"/>
          <w:sz w:val="21"/>
          <w:szCs w:val="21"/>
        </w:rPr>
        <w:t xml:space="preserve">Run reports are assembled server-side from immutable result records; no report recomputes an outcome.</w:t>
      </w:r>
    </w:p>
    <w:p>
      <w:pPr>
        <w:pStyle w:val="ListParagraph"/>
        <w:numPr>
          <w:ilvl w:val="0"/>
          <w:numId w:val="2"/>
        </w:numPr>
        <w:spacing w:after="70" w:line="268"/>
      </w:pPr>
      <w:r>
        <w:rPr>
          <w:rFonts w:ascii="Calibri" w:cs="Calibri" w:eastAsia="Calibri" w:hAnsi="Calibri"/>
          <w:b w:val="false"/>
          <w:bCs w:val="false"/>
          <w:i w:val="false"/>
          <w:iCs w:val="false"/>
          <w:color w:val="262626"/>
          <w:sz w:val="21"/>
          <w:szCs w:val="21"/>
        </w:rPr>
        <w:t xml:space="preserve">Excel export uses openpyxl with one sheet per view: Requirements, Test Cases, Matrix, Run Results.</w:t>
      </w:r>
    </w:p>
    <w:p>
      <w:pPr>
        <w:pStyle w:val="ListParagraph"/>
        <w:numPr>
          <w:ilvl w:val="0"/>
          <w:numId w:val="2"/>
        </w:numPr>
        <w:spacing w:after="70" w:line="268"/>
      </w:pPr>
      <w:r>
        <w:rPr>
          <w:rFonts w:ascii="Calibri" w:cs="Calibri" w:eastAsia="Calibri" w:hAnsi="Calibri"/>
          <w:b w:val="false"/>
          <w:bCs w:val="false"/>
          <w:i w:val="false"/>
          <w:iCs w:val="false"/>
          <w:color w:val="262626"/>
          <w:sz w:val="21"/>
          <w:szCs w:val="21"/>
        </w:rPr>
        <w:t xml:space="preserve">PDF export renders a server-side HTML template. The rendering engine must be validated for Arabic shaping and right-to-left table layout before selection is fixed (SRS FR-RPT-07); this is a gating test, not an assumption.</w:t>
      </w:r>
    </w:p>
    <w:p>
      <w:pPr>
        <w:pStyle w:val="ListParagraph"/>
        <w:numPr>
          <w:ilvl w:val="0"/>
          <w:numId w:val="2"/>
        </w:numPr>
        <w:spacing w:after="70" w:line="268"/>
      </w:pPr>
      <w:r>
        <w:rPr>
          <w:rFonts w:ascii="Calibri" w:cs="Calibri" w:eastAsia="Calibri" w:hAnsi="Calibri"/>
          <w:b w:val="false"/>
          <w:bCs w:val="false"/>
          <w:i w:val="false"/>
          <w:iCs w:val="false"/>
          <w:color w:val="262626"/>
          <w:sz w:val="21"/>
          <w:szCs w:val="21"/>
        </w:rPr>
        <w:t xml:space="preserve">Exports pass through the same redaction path as evidence storage; there is no code path by which a secret can reach an export.</w:t>
      </w:r>
    </w:p>
    <w:p>
      <w:pPr>
        <w:pStyle w:val="Heading2"/>
        <w:spacing w:after="110" w:before="260"/>
      </w:pPr>
      <w:r>
        <w:rPr>
          <w:rFonts w:ascii="Calibri" w:cs="Calibri" w:eastAsia="Calibri" w:hAnsi="Calibri"/>
          <w:b/>
          <w:bCs/>
          <w:color w:val="2E75B6"/>
          <w:sz w:val="25"/>
          <w:szCs w:val="25"/>
        </w:rPr>
        <w:t xml:space="preserve">4.9 LLM Abstraction Layer</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2273"/>
        <w:gridCol w:w="7087"/>
      </w:tblGrid>
      <w:tr>
        <w:trPr>
          <w:tblHeader/>
        </w:trPr>
        <w:tc>
          <w:tcPr>
            <w:tcW w:type="dxa" w:w="2273"/>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Aspect</w:t>
            </w:r>
          </w:p>
        </w:tc>
        <w:tc>
          <w:tcPr>
            <w:tcW w:type="dxa" w:w="7087"/>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Specification</w:t>
            </w:r>
          </w:p>
        </w:tc>
      </w:tr>
      <w:tr>
        <w:tc>
          <w:tcPr>
            <w:tcW w:type="dxa" w:w="2273"/>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Interface</w:t>
            </w:r>
          </w:p>
        </w:tc>
        <w:tc>
          <w:tcPr>
            <w:tcW w:type="dxa" w:w="708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A single method taking a prompt template identifier, a variable binding, a response schema and a model tier; returning a validated object plus usage metadata. Callers never see provider-specific types.</w:t>
            </w:r>
          </w:p>
        </w:tc>
      </w:tr>
      <w:tr>
        <w:tc>
          <w:tcPr>
            <w:tcW w:type="dxa" w:w="2273"/>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Structured output</w:t>
            </w:r>
          </w:p>
        </w:tc>
        <w:tc>
          <w:tcPr>
            <w:tcW w:type="dxa" w:w="708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Every call declares a JSON schema and the provider is constrained to it. Free-text responses are not accepted anywhere in the pipeline.</w:t>
            </w:r>
          </w:p>
        </w:tc>
      </w:tr>
      <w:tr>
        <w:tc>
          <w:tcPr>
            <w:tcW w:type="dxa" w:w="2273"/>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Prompt registry</w:t>
            </w:r>
          </w:p>
        </w:tc>
        <w:tc>
          <w:tcPr>
            <w:tcW w:type="dxa" w:w="708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Prompts are versioned files under source control, loaded by identifier. The version used is recorded on every generated artefact (FR-GEN-09, NFR-MNT-03).</w:t>
            </w:r>
          </w:p>
        </w:tc>
      </w:tr>
      <w:tr>
        <w:tc>
          <w:tcPr>
            <w:tcW w:type="dxa" w:w="2273"/>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Retry policy</w:t>
            </w:r>
          </w:p>
        </w:tc>
        <w:tc>
          <w:tcPr>
            <w:tcW w:type="dxa" w:w="708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One retry on schema validation failure, including the validation error in the retry. Exponential backoff with jitter on transient provider errors. No unbounded retry loops.</w:t>
            </w:r>
          </w:p>
        </w:tc>
      </w:tr>
      <w:tr>
        <w:tc>
          <w:tcPr>
            <w:tcW w:type="dxa" w:w="2273"/>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Metering</w:t>
            </w:r>
          </w:p>
        </w:tc>
        <w:tc>
          <w:tcPr>
            <w:tcW w:type="dxa" w:w="708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Token consumption and latency recorded per call, attributed to organisation and project, for cost control (BRD R-07) and plan limits.</w:t>
            </w:r>
          </w:p>
        </w:tc>
      </w:tr>
      <w:tr>
        <w:tc>
          <w:tcPr>
            <w:tcW w:type="dxa" w:w="2273"/>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Degradation</w:t>
            </w:r>
          </w:p>
        </w:tc>
        <w:tc>
          <w:tcPr>
            <w:tcW w:type="dxa" w:w="708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Provider unavailability disables generation only; ingestion of already-parsed data, execution, traceability and reporting continue (NFR-REL-03).</w:t>
            </w:r>
          </w:p>
        </w:tc>
      </w:tr>
      <w:tr>
        <w:tc>
          <w:tcPr>
            <w:tcW w:type="dxa" w:w="2273"/>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Data handling</w:t>
            </w:r>
          </w:p>
        </w:tc>
        <w:tc>
          <w:tcPr>
            <w:tcW w:type="dxa" w:w="708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Content sent to the provider is logged by reference, not by value. In on-premise configuration the layer is pointed at a local endpoint and no content leaves the deployment.</w:t>
            </w:r>
          </w:p>
        </w:tc>
      </w:tr>
    </w:tbl>
    <w:p>
      <w:pPr>
        <w:pStyle w:val="Heading1"/>
        <w:pageBreakBefore/>
        <w:spacing w:after="160" w:before="360"/>
      </w:pPr>
      <w:r>
        <w:rPr>
          <w:rFonts w:ascii="Calibri" w:cs="Calibri" w:eastAsia="Calibri" w:hAnsi="Calibri"/>
          <w:b/>
          <w:bCs/>
          <w:color w:val="1F4E79"/>
          <w:sz w:val="30"/>
          <w:szCs w:val="30"/>
        </w:rPr>
        <w:t xml:space="preserve">5. Data Model</w:t>
      </w:r>
    </w:p>
    <w:p>
      <w:pPr>
        <w:pStyle w:val="Heading2"/>
        <w:spacing w:after="110" w:before="260"/>
      </w:pPr>
      <w:r>
        <w:rPr>
          <w:rFonts w:ascii="Calibri" w:cs="Calibri" w:eastAsia="Calibri" w:hAnsi="Calibri"/>
          <w:b/>
          <w:bCs/>
          <w:color w:val="2E75B6"/>
          <w:sz w:val="25"/>
          <w:szCs w:val="25"/>
        </w:rPr>
        <w:t xml:space="preserve">5.1 Core tables</w:t>
      </w:r>
    </w:p>
    <w:p>
      <w:pPr>
        <w:spacing w:after="120" w:line="276"/>
      </w:pPr>
      <w:r>
        <w:rPr>
          <w:rFonts w:ascii="Calibri" w:cs="Calibri" w:eastAsia="Calibri" w:hAnsi="Calibri"/>
          <w:b w:val="false"/>
          <w:bCs w:val="false"/>
          <w:i w:val="false"/>
          <w:iCs w:val="false"/>
          <w:color w:val="262626"/>
          <w:sz w:val="21"/>
          <w:szCs w:val="21"/>
        </w:rPr>
        <w:t xml:space="preserve">Abbreviated schema. All tables carry id (UUID), created_at, updated_at. All tenant-scoped tables carry organisation_id and are protected by row-level security.</w:t>
      </w:r>
    </w:p>
    <w:p>
      <w:pPr>
        <w:pStyle w:val="Heading3"/>
        <w:spacing w:after="90" w:before="200"/>
      </w:pPr>
      <w:r>
        <w:rPr>
          <w:rFonts w:ascii="Calibri" w:cs="Calibri" w:eastAsia="Calibri" w:hAnsi="Calibri"/>
          <w:b/>
          <w:bCs/>
          <w:color w:val="404040"/>
          <w:sz w:val="22"/>
          <w:szCs w:val="22"/>
        </w:rPr>
        <w:t xml:space="preserve">organisations</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2407"/>
        <w:gridCol w:w="2006"/>
        <w:gridCol w:w="4947"/>
      </w:tblGrid>
      <w:tr>
        <w:trPr>
          <w:tblHeader/>
        </w:trPr>
        <w:tc>
          <w:tcPr>
            <w:tcW w:type="dxa" w:w="2407"/>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8"/>
                <w:szCs w:val="18"/>
              </w:rPr>
              <w:t xml:space="preserve">Column</w:t>
            </w:r>
          </w:p>
        </w:tc>
        <w:tc>
          <w:tcPr>
            <w:tcW w:type="dxa" w:w="2006"/>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8"/>
                <w:szCs w:val="18"/>
              </w:rPr>
              <w:t xml:space="preserve">Type</w:t>
            </w:r>
          </w:p>
        </w:tc>
        <w:tc>
          <w:tcPr>
            <w:tcW w:type="dxa" w:w="4947"/>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8"/>
                <w:szCs w:val="18"/>
              </w:rPr>
              <w:t xml:space="preserve">Notes</w:t>
            </w:r>
          </w:p>
        </w:tc>
      </w:tr>
      <w:tr>
        <w:tc>
          <w:tcPr>
            <w:tcW w:type="dxa" w:w="2407"/>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name</w:t>
            </w:r>
          </w:p>
        </w:tc>
        <w:tc>
          <w:tcPr>
            <w:tcW w:type="dxa" w:w="2006"/>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text</w:t>
            </w:r>
          </w:p>
        </w:tc>
        <w:tc>
          <w:tcPr>
            <w:tcW w:type="dxa" w:w="494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Display name.</w:t>
            </w:r>
          </w:p>
        </w:tc>
      </w:tr>
      <w:tr>
        <w:tc>
          <w:tcPr>
            <w:tcW w:type="dxa" w:w="240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plan</w:t>
            </w:r>
          </w:p>
        </w:tc>
        <w:tc>
          <w:tcPr>
            <w:tcW w:type="dxa" w:w="2006"/>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text</w:t>
            </w:r>
          </w:p>
        </w:tc>
        <w:tc>
          <w:tcPr>
            <w:tcW w:type="dxa" w:w="494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free | pro | team | enterprise.</w:t>
            </w:r>
          </w:p>
        </w:tc>
      </w:tr>
      <w:tr>
        <w:tc>
          <w:tcPr>
            <w:tcW w:type="dxa" w:w="2407"/>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settings</w:t>
            </w:r>
          </w:p>
        </w:tc>
        <w:tc>
          <w:tcPr>
            <w:tcW w:type="dxa" w:w="2006"/>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jsonb</w:t>
            </w:r>
          </w:p>
        </w:tc>
        <w:tc>
          <w:tcPr>
            <w:tcW w:type="dxa" w:w="494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Locale default, volume limits, retention policy.</w:t>
            </w:r>
          </w:p>
        </w:tc>
      </w:tr>
    </w:tbl>
    <w:p>
      <w:pPr>
        <w:pStyle w:val="Heading3"/>
        <w:spacing w:after="90" w:before="200"/>
      </w:pPr>
      <w:r>
        <w:rPr>
          <w:rFonts w:ascii="Calibri" w:cs="Calibri" w:eastAsia="Calibri" w:hAnsi="Calibri"/>
          <w:b/>
          <w:bCs/>
          <w:color w:val="404040"/>
          <w:sz w:val="22"/>
          <w:szCs w:val="22"/>
        </w:rPr>
        <w:t xml:space="preserve">users</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2407"/>
        <w:gridCol w:w="2006"/>
        <w:gridCol w:w="4947"/>
      </w:tblGrid>
      <w:tr>
        <w:trPr>
          <w:tblHeader/>
        </w:trPr>
        <w:tc>
          <w:tcPr>
            <w:tcW w:type="dxa" w:w="2407"/>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8"/>
                <w:szCs w:val="18"/>
              </w:rPr>
              <w:t xml:space="preserve">Column</w:t>
            </w:r>
          </w:p>
        </w:tc>
        <w:tc>
          <w:tcPr>
            <w:tcW w:type="dxa" w:w="2006"/>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8"/>
                <w:szCs w:val="18"/>
              </w:rPr>
              <w:t xml:space="preserve">Type</w:t>
            </w:r>
          </w:p>
        </w:tc>
        <w:tc>
          <w:tcPr>
            <w:tcW w:type="dxa" w:w="4947"/>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8"/>
                <w:szCs w:val="18"/>
              </w:rPr>
              <w:t xml:space="preserve">Notes</w:t>
            </w:r>
          </w:p>
        </w:tc>
      </w:tr>
      <w:tr>
        <w:tc>
          <w:tcPr>
            <w:tcW w:type="dxa" w:w="2407"/>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organisation_id</w:t>
            </w:r>
          </w:p>
        </w:tc>
        <w:tc>
          <w:tcPr>
            <w:tcW w:type="dxa" w:w="2006"/>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uuid FK</w:t>
            </w:r>
          </w:p>
        </w:tc>
        <w:tc>
          <w:tcPr>
            <w:tcW w:type="dxa" w:w="494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Owning organisation.</w:t>
            </w:r>
          </w:p>
        </w:tc>
      </w:tr>
      <w:tr>
        <w:tc>
          <w:tcPr>
            <w:tcW w:type="dxa" w:w="240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email</w:t>
            </w:r>
          </w:p>
        </w:tc>
        <w:tc>
          <w:tcPr>
            <w:tcW w:type="dxa" w:w="2006"/>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citext unique</w:t>
            </w:r>
          </w:p>
        </w:tc>
        <w:tc>
          <w:tcPr>
            <w:tcW w:type="dxa" w:w="494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Login identifier.</w:t>
            </w:r>
          </w:p>
        </w:tc>
      </w:tr>
      <w:tr>
        <w:tc>
          <w:tcPr>
            <w:tcW w:type="dxa" w:w="2407"/>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password_hash</w:t>
            </w:r>
          </w:p>
        </w:tc>
        <w:tc>
          <w:tcPr>
            <w:tcW w:type="dxa" w:w="2006"/>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text</w:t>
            </w:r>
          </w:p>
        </w:tc>
        <w:tc>
          <w:tcPr>
            <w:tcW w:type="dxa" w:w="494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Argon2id.</w:t>
            </w:r>
          </w:p>
        </w:tc>
      </w:tr>
      <w:tr>
        <w:tc>
          <w:tcPr>
            <w:tcW w:type="dxa" w:w="240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role</w:t>
            </w:r>
          </w:p>
        </w:tc>
        <w:tc>
          <w:tcPr>
            <w:tcW w:type="dxa" w:w="2006"/>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text</w:t>
            </w:r>
          </w:p>
        </w:tc>
        <w:tc>
          <w:tcPr>
            <w:tcW w:type="dxa" w:w="494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admin | qa_lead | qa_engineer | viewer.</w:t>
            </w:r>
          </w:p>
        </w:tc>
      </w:tr>
      <w:tr>
        <w:tc>
          <w:tcPr>
            <w:tcW w:type="dxa" w:w="2407"/>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locale</w:t>
            </w:r>
          </w:p>
        </w:tc>
        <w:tc>
          <w:tcPr>
            <w:tcW w:type="dxa" w:w="2006"/>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text</w:t>
            </w:r>
          </w:p>
        </w:tc>
        <w:tc>
          <w:tcPr>
            <w:tcW w:type="dxa" w:w="494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en | ar — drives interface direction.</w:t>
            </w:r>
          </w:p>
        </w:tc>
      </w:tr>
    </w:tbl>
    <w:p>
      <w:pPr>
        <w:pStyle w:val="Heading3"/>
        <w:spacing w:after="90" w:before="200"/>
      </w:pPr>
      <w:r>
        <w:rPr>
          <w:rFonts w:ascii="Calibri" w:cs="Calibri" w:eastAsia="Calibri" w:hAnsi="Calibri"/>
          <w:b/>
          <w:bCs/>
          <w:color w:val="404040"/>
          <w:sz w:val="22"/>
          <w:szCs w:val="22"/>
        </w:rPr>
        <w:t xml:space="preserve">projects</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2407"/>
        <w:gridCol w:w="2006"/>
        <w:gridCol w:w="4947"/>
      </w:tblGrid>
      <w:tr>
        <w:trPr>
          <w:tblHeader/>
        </w:trPr>
        <w:tc>
          <w:tcPr>
            <w:tcW w:type="dxa" w:w="2407"/>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8"/>
                <w:szCs w:val="18"/>
              </w:rPr>
              <w:t xml:space="preserve">Column</w:t>
            </w:r>
          </w:p>
        </w:tc>
        <w:tc>
          <w:tcPr>
            <w:tcW w:type="dxa" w:w="2006"/>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8"/>
                <w:szCs w:val="18"/>
              </w:rPr>
              <w:t xml:space="preserve">Type</w:t>
            </w:r>
          </w:p>
        </w:tc>
        <w:tc>
          <w:tcPr>
            <w:tcW w:type="dxa" w:w="4947"/>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8"/>
                <w:szCs w:val="18"/>
              </w:rPr>
              <w:t xml:space="preserve">Notes</w:t>
            </w:r>
          </w:p>
        </w:tc>
      </w:tr>
      <w:tr>
        <w:tc>
          <w:tcPr>
            <w:tcW w:type="dxa" w:w="2407"/>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organisation_id</w:t>
            </w:r>
          </w:p>
        </w:tc>
        <w:tc>
          <w:tcPr>
            <w:tcW w:type="dxa" w:w="2006"/>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uuid FK</w:t>
            </w:r>
          </w:p>
        </w:tc>
        <w:tc>
          <w:tcPr>
            <w:tcW w:type="dxa" w:w="494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
            </w:r>
          </w:p>
        </w:tc>
      </w:tr>
      <w:tr>
        <w:tc>
          <w:tcPr>
            <w:tcW w:type="dxa" w:w="240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name</w:t>
            </w:r>
          </w:p>
        </w:tc>
        <w:tc>
          <w:tcPr>
            <w:tcW w:type="dxa" w:w="2006"/>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text</w:t>
            </w:r>
          </w:p>
        </w:tc>
        <w:tc>
          <w:tcPr>
            <w:tcW w:type="dxa" w:w="494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
            </w:r>
          </w:p>
        </w:tc>
      </w:tr>
      <w:tr>
        <w:tc>
          <w:tcPr>
            <w:tcW w:type="dxa" w:w="2407"/>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language</w:t>
            </w:r>
          </w:p>
        </w:tc>
        <w:tc>
          <w:tcPr>
            <w:tcW w:type="dxa" w:w="2006"/>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text</w:t>
            </w:r>
          </w:p>
        </w:tc>
        <w:tc>
          <w:tcPr>
            <w:tcW w:type="dxa" w:w="494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Primary requirements language; drives parser and export direction.</w:t>
            </w:r>
          </w:p>
        </w:tc>
      </w:tr>
      <w:tr>
        <w:tc>
          <w:tcPr>
            <w:tcW w:type="dxa" w:w="240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status</w:t>
            </w:r>
          </w:p>
        </w:tc>
        <w:tc>
          <w:tcPr>
            <w:tcW w:type="dxa" w:w="2006"/>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text</w:t>
            </w:r>
          </w:p>
        </w:tc>
        <w:tc>
          <w:tcPr>
            <w:tcW w:type="dxa" w:w="494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active | archived.</w:t>
            </w:r>
          </w:p>
        </w:tc>
      </w:tr>
    </w:tbl>
    <w:p>
      <w:pPr>
        <w:pStyle w:val="Heading3"/>
        <w:spacing w:after="90" w:before="200"/>
      </w:pPr>
      <w:r>
        <w:rPr>
          <w:rFonts w:ascii="Calibri" w:cs="Calibri" w:eastAsia="Calibri" w:hAnsi="Calibri"/>
          <w:b/>
          <w:bCs/>
          <w:color w:val="404040"/>
          <w:sz w:val="22"/>
          <w:szCs w:val="22"/>
        </w:rPr>
        <w:t xml:space="preserve">environments</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2407"/>
        <w:gridCol w:w="2006"/>
        <w:gridCol w:w="4947"/>
      </w:tblGrid>
      <w:tr>
        <w:trPr>
          <w:tblHeader/>
        </w:trPr>
        <w:tc>
          <w:tcPr>
            <w:tcW w:type="dxa" w:w="2407"/>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8"/>
                <w:szCs w:val="18"/>
              </w:rPr>
              <w:t xml:space="preserve">Column</w:t>
            </w:r>
          </w:p>
        </w:tc>
        <w:tc>
          <w:tcPr>
            <w:tcW w:type="dxa" w:w="2006"/>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8"/>
                <w:szCs w:val="18"/>
              </w:rPr>
              <w:t xml:space="preserve">Type</w:t>
            </w:r>
          </w:p>
        </w:tc>
        <w:tc>
          <w:tcPr>
            <w:tcW w:type="dxa" w:w="4947"/>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8"/>
                <w:szCs w:val="18"/>
              </w:rPr>
              <w:t xml:space="preserve">Notes</w:t>
            </w:r>
          </w:p>
        </w:tc>
      </w:tr>
      <w:tr>
        <w:tc>
          <w:tcPr>
            <w:tcW w:type="dxa" w:w="2407"/>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project_id</w:t>
            </w:r>
          </w:p>
        </w:tc>
        <w:tc>
          <w:tcPr>
            <w:tcW w:type="dxa" w:w="2006"/>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uuid FK</w:t>
            </w:r>
          </w:p>
        </w:tc>
        <w:tc>
          <w:tcPr>
            <w:tcW w:type="dxa" w:w="494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
            </w:r>
          </w:p>
        </w:tc>
      </w:tr>
      <w:tr>
        <w:tc>
          <w:tcPr>
            <w:tcW w:type="dxa" w:w="240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name</w:t>
            </w:r>
          </w:p>
        </w:tc>
        <w:tc>
          <w:tcPr>
            <w:tcW w:type="dxa" w:w="2006"/>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text</w:t>
            </w:r>
          </w:p>
        </w:tc>
        <w:tc>
          <w:tcPr>
            <w:tcW w:type="dxa" w:w="494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e.g. staging, uat.</w:t>
            </w:r>
          </w:p>
        </w:tc>
      </w:tr>
      <w:tr>
        <w:tc>
          <w:tcPr>
            <w:tcW w:type="dxa" w:w="2407"/>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base_url</w:t>
            </w:r>
          </w:p>
        </w:tc>
        <w:tc>
          <w:tcPr>
            <w:tcW w:type="dxa" w:w="2006"/>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text</w:t>
            </w:r>
          </w:p>
        </w:tc>
        <w:tc>
          <w:tcPr>
            <w:tcW w:type="dxa" w:w="494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
            </w:r>
          </w:p>
        </w:tc>
      </w:tr>
      <w:tr>
        <w:tc>
          <w:tcPr>
            <w:tcW w:type="dxa" w:w="240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auth_type</w:t>
            </w:r>
          </w:p>
        </w:tc>
        <w:tc>
          <w:tcPr>
            <w:tcW w:type="dxa" w:w="2006"/>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text</w:t>
            </w:r>
          </w:p>
        </w:tc>
        <w:tc>
          <w:tcPr>
            <w:tcW w:type="dxa" w:w="494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none | api_key | basic | bearer | oauth2_cc.</w:t>
            </w:r>
          </w:p>
        </w:tc>
      </w:tr>
      <w:tr>
        <w:tc>
          <w:tcPr>
            <w:tcW w:type="dxa" w:w="2407"/>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auth_config_encrypted</w:t>
            </w:r>
          </w:p>
        </w:tc>
        <w:tc>
          <w:tcPr>
            <w:tcW w:type="dxa" w:w="2006"/>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bytea</w:t>
            </w:r>
          </w:p>
        </w:tc>
        <w:tc>
          <w:tcPr>
            <w:tcW w:type="dxa" w:w="494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Envelope-encrypted; never returned in full by any API.</w:t>
            </w:r>
          </w:p>
        </w:tc>
      </w:tr>
      <w:tr>
        <w:tc>
          <w:tcPr>
            <w:tcW w:type="dxa" w:w="240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variables</w:t>
            </w:r>
          </w:p>
        </w:tc>
        <w:tc>
          <w:tcPr>
            <w:tcW w:type="dxa" w:w="2006"/>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jsonb</w:t>
            </w:r>
          </w:p>
        </w:tc>
        <w:tc>
          <w:tcPr>
            <w:tcW w:type="dxa" w:w="494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Non-secret project variables.</w:t>
            </w:r>
          </w:p>
        </w:tc>
      </w:tr>
      <w:tr>
        <w:tc>
          <w:tcPr>
            <w:tcW w:type="dxa" w:w="2407"/>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tls_strict</w:t>
            </w:r>
          </w:p>
        </w:tc>
        <w:tc>
          <w:tcPr>
            <w:tcW w:type="dxa" w:w="2006"/>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boolean</w:t>
            </w:r>
          </w:p>
        </w:tc>
        <w:tc>
          <w:tcPr>
            <w:tcW w:type="dxa" w:w="494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Default true; opt-out per environment only.</w:t>
            </w:r>
          </w:p>
        </w:tc>
      </w:tr>
    </w:tbl>
    <w:p>
      <w:pPr>
        <w:pStyle w:val="Heading3"/>
        <w:spacing w:after="90" w:before="200"/>
      </w:pPr>
      <w:r>
        <w:rPr>
          <w:rFonts w:ascii="Calibri" w:cs="Calibri" w:eastAsia="Calibri" w:hAnsi="Calibri"/>
          <w:b/>
          <w:bCs/>
          <w:color w:val="404040"/>
          <w:sz w:val="22"/>
          <w:szCs w:val="22"/>
        </w:rPr>
        <w:t xml:space="preserve">source_documents</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2407"/>
        <w:gridCol w:w="2006"/>
        <w:gridCol w:w="4947"/>
      </w:tblGrid>
      <w:tr>
        <w:trPr>
          <w:tblHeader/>
        </w:trPr>
        <w:tc>
          <w:tcPr>
            <w:tcW w:type="dxa" w:w="2407"/>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8"/>
                <w:szCs w:val="18"/>
              </w:rPr>
              <w:t xml:space="preserve">Column</w:t>
            </w:r>
          </w:p>
        </w:tc>
        <w:tc>
          <w:tcPr>
            <w:tcW w:type="dxa" w:w="2006"/>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8"/>
                <w:szCs w:val="18"/>
              </w:rPr>
              <w:t xml:space="preserve">Type</w:t>
            </w:r>
          </w:p>
        </w:tc>
        <w:tc>
          <w:tcPr>
            <w:tcW w:type="dxa" w:w="4947"/>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8"/>
                <w:szCs w:val="18"/>
              </w:rPr>
              <w:t xml:space="preserve">Notes</w:t>
            </w:r>
          </w:p>
        </w:tc>
      </w:tr>
      <w:tr>
        <w:tc>
          <w:tcPr>
            <w:tcW w:type="dxa" w:w="2407"/>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project_id</w:t>
            </w:r>
          </w:p>
        </w:tc>
        <w:tc>
          <w:tcPr>
            <w:tcW w:type="dxa" w:w="2006"/>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uuid FK</w:t>
            </w:r>
          </w:p>
        </w:tc>
        <w:tc>
          <w:tcPr>
            <w:tcW w:type="dxa" w:w="494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
            </w:r>
          </w:p>
        </w:tc>
      </w:tr>
      <w:tr>
        <w:tc>
          <w:tcPr>
            <w:tcW w:type="dxa" w:w="240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filename, mime_type, size</w:t>
            </w:r>
          </w:p>
        </w:tc>
        <w:tc>
          <w:tcPr>
            <w:tcW w:type="dxa" w:w="2006"/>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text / int</w:t>
            </w:r>
          </w:p>
        </w:tc>
        <w:tc>
          <w:tcPr>
            <w:tcW w:type="dxa" w:w="494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
            </w:r>
          </w:p>
        </w:tc>
      </w:tr>
      <w:tr>
        <w:tc>
          <w:tcPr>
            <w:tcW w:type="dxa" w:w="2407"/>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storage_key</w:t>
            </w:r>
          </w:p>
        </w:tc>
        <w:tc>
          <w:tcPr>
            <w:tcW w:type="dxa" w:w="2006"/>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text</w:t>
            </w:r>
          </w:p>
        </w:tc>
        <w:tc>
          <w:tcPr>
            <w:tcW w:type="dxa" w:w="494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Object storage reference.</w:t>
            </w:r>
          </w:p>
        </w:tc>
      </w:tr>
      <w:tr>
        <w:tc>
          <w:tcPr>
            <w:tcW w:type="dxa" w:w="240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language</w:t>
            </w:r>
          </w:p>
        </w:tc>
        <w:tc>
          <w:tcPr>
            <w:tcW w:type="dxa" w:w="2006"/>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text</w:t>
            </w:r>
          </w:p>
        </w:tc>
        <w:tc>
          <w:tcPr>
            <w:tcW w:type="dxa" w:w="494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Detected or declared.</w:t>
            </w:r>
          </w:p>
        </w:tc>
      </w:tr>
      <w:tr>
        <w:tc>
          <w:tcPr>
            <w:tcW w:type="dxa" w:w="2407"/>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version</w:t>
            </w:r>
          </w:p>
        </w:tc>
        <w:tc>
          <w:tcPr>
            <w:tcW w:type="dxa" w:w="2006"/>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int</w:t>
            </w:r>
          </w:p>
        </w:tc>
        <w:tc>
          <w:tcPr>
            <w:tcW w:type="dxa" w:w="494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Increments per re-upload.</w:t>
            </w:r>
          </w:p>
        </w:tc>
      </w:tr>
      <w:tr>
        <w:tc>
          <w:tcPr>
            <w:tcW w:type="dxa" w:w="240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parse_status</w:t>
            </w:r>
          </w:p>
        </w:tc>
        <w:tc>
          <w:tcPr>
            <w:tcW w:type="dxa" w:w="2006"/>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text</w:t>
            </w:r>
          </w:p>
        </w:tc>
        <w:tc>
          <w:tcPr>
            <w:tcW w:type="dxa" w:w="494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pending | parsing | parsed | failed.</w:t>
            </w:r>
          </w:p>
        </w:tc>
      </w:tr>
    </w:tbl>
    <w:p>
      <w:pPr>
        <w:pStyle w:val="Heading3"/>
        <w:spacing w:after="90" w:before="200"/>
      </w:pPr>
      <w:r>
        <w:rPr>
          <w:rFonts w:ascii="Calibri" w:cs="Calibri" w:eastAsia="Calibri" w:hAnsi="Calibri"/>
          <w:b/>
          <w:bCs/>
          <w:color w:val="404040"/>
          <w:sz w:val="22"/>
          <w:szCs w:val="22"/>
        </w:rPr>
        <w:t xml:space="preserve">requirements</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2407"/>
        <w:gridCol w:w="2006"/>
        <w:gridCol w:w="4947"/>
      </w:tblGrid>
      <w:tr>
        <w:trPr>
          <w:tblHeader/>
        </w:trPr>
        <w:tc>
          <w:tcPr>
            <w:tcW w:type="dxa" w:w="2407"/>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8"/>
                <w:szCs w:val="18"/>
              </w:rPr>
              <w:t xml:space="preserve">Column</w:t>
            </w:r>
          </w:p>
        </w:tc>
        <w:tc>
          <w:tcPr>
            <w:tcW w:type="dxa" w:w="2006"/>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8"/>
                <w:szCs w:val="18"/>
              </w:rPr>
              <w:t xml:space="preserve">Type</w:t>
            </w:r>
          </w:p>
        </w:tc>
        <w:tc>
          <w:tcPr>
            <w:tcW w:type="dxa" w:w="4947"/>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8"/>
                <w:szCs w:val="18"/>
              </w:rPr>
              <w:t xml:space="preserve">Notes</w:t>
            </w:r>
          </w:p>
        </w:tc>
      </w:tr>
      <w:tr>
        <w:tc>
          <w:tcPr>
            <w:tcW w:type="dxa" w:w="2407"/>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project_id, source_document_id</w:t>
            </w:r>
          </w:p>
        </w:tc>
        <w:tc>
          <w:tcPr>
            <w:tcW w:type="dxa" w:w="2006"/>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uuid FK</w:t>
            </w:r>
          </w:p>
        </w:tc>
        <w:tc>
          <w:tcPr>
            <w:tcW w:type="dxa" w:w="494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
            </w:r>
          </w:p>
        </w:tc>
      </w:tr>
      <w:tr>
        <w:tc>
          <w:tcPr>
            <w:tcW w:type="dxa" w:w="240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external_id</w:t>
            </w:r>
          </w:p>
        </w:tc>
        <w:tc>
          <w:tcPr>
            <w:tcW w:type="dxa" w:w="2006"/>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text</w:t>
            </w:r>
          </w:p>
        </w:tc>
        <w:tc>
          <w:tcPr>
            <w:tcW w:type="dxa" w:w="494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Identifier as written in the source document, where present.</w:t>
            </w:r>
          </w:p>
        </w:tc>
      </w:tr>
      <w:tr>
        <w:tc>
          <w:tcPr>
            <w:tcW w:type="dxa" w:w="2407"/>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description</w:t>
            </w:r>
          </w:p>
        </w:tc>
        <w:tc>
          <w:tcPr>
            <w:tcW w:type="dxa" w:w="2006"/>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text</w:t>
            </w:r>
          </w:p>
        </w:tc>
        <w:tc>
          <w:tcPr>
            <w:tcW w:type="dxa" w:w="494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
            </w:r>
          </w:p>
        </w:tc>
      </w:tr>
      <w:tr>
        <w:tc>
          <w:tcPr>
            <w:tcW w:type="dxa" w:w="240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acceptance_criteria</w:t>
            </w:r>
          </w:p>
        </w:tc>
        <w:tc>
          <w:tcPr>
            <w:tcW w:type="dxa" w:w="2006"/>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jsonb</w:t>
            </w:r>
          </w:p>
        </w:tc>
        <w:tc>
          <w:tcPr>
            <w:tcW w:type="dxa" w:w="494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Array of criterion strings.</w:t>
            </w:r>
          </w:p>
        </w:tc>
      </w:tr>
      <w:tr>
        <w:tc>
          <w:tcPr>
            <w:tcW w:type="dxa" w:w="2407"/>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type</w:t>
            </w:r>
          </w:p>
        </w:tc>
        <w:tc>
          <w:tcPr>
            <w:tcW w:type="dxa" w:w="2006"/>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text</w:t>
            </w:r>
          </w:p>
        </w:tc>
        <w:tc>
          <w:tcPr>
            <w:tcW w:type="dxa" w:w="494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functional | business_rule | data | interface | non_functional.</w:t>
            </w:r>
          </w:p>
        </w:tc>
      </w:tr>
      <w:tr>
        <w:tc>
          <w:tcPr>
            <w:tcW w:type="dxa" w:w="240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priority</w:t>
            </w:r>
          </w:p>
        </w:tc>
        <w:tc>
          <w:tcPr>
            <w:tcW w:type="dxa" w:w="2006"/>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text</w:t>
            </w:r>
          </w:p>
        </w:tc>
        <w:tc>
          <w:tcPr>
            <w:tcW w:type="dxa" w:w="494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Where stated in the source.</w:t>
            </w:r>
          </w:p>
        </w:tc>
      </w:tr>
      <w:tr>
        <w:tc>
          <w:tcPr>
            <w:tcW w:type="dxa" w:w="2407"/>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state</w:t>
            </w:r>
          </w:p>
        </w:tc>
        <w:tc>
          <w:tcPr>
            <w:tcW w:type="dxa" w:w="2006"/>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text</w:t>
            </w:r>
          </w:p>
        </w:tc>
        <w:tc>
          <w:tcPr>
            <w:tcW w:type="dxa" w:w="494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extracted | confirmed | changed | removed.</w:t>
            </w:r>
          </w:p>
        </w:tc>
      </w:tr>
      <w:tr>
        <w:tc>
          <w:tcPr>
            <w:tcW w:type="dxa" w:w="240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version</w:t>
            </w:r>
          </w:p>
        </w:tc>
        <w:tc>
          <w:tcPr>
            <w:tcW w:type="dxa" w:w="2006"/>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int</w:t>
            </w:r>
          </w:p>
        </w:tc>
        <w:tc>
          <w:tcPr>
            <w:tcW w:type="dxa" w:w="494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Increments on material change.</w:t>
            </w:r>
          </w:p>
        </w:tc>
      </w:tr>
      <w:tr>
        <w:tc>
          <w:tcPr>
            <w:tcW w:type="dxa" w:w="2407"/>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source_location</w:t>
            </w:r>
          </w:p>
        </w:tc>
        <w:tc>
          <w:tcPr>
            <w:tcW w:type="dxa" w:w="2006"/>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jsonb</w:t>
            </w:r>
          </w:p>
        </w:tc>
        <w:tc>
          <w:tcPr>
            <w:tcW w:type="dxa" w:w="494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Page, offset and span for FR-REQ-07.</w:t>
            </w:r>
          </w:p>
        </w:tc>
      </w:tr>
      <w:tr>
        <w:tc>
          <w:tcPr>
            <w:tcW w:type="dxa" w:w="240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confidence</w:t>
            </w:r>
          </w:p>
        </w:tc>
        <w:tc>
          <w:tcPr>
            <w:tcW w:type="dxa" w:w="2006"/>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numeric</w:t>
            </w:r>
          </w:p>
        </w:tc>
        <w:tc>
          <w:tcPr>
            <w:tcW w:type="dxa" w:w="494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Extraction confidence (FR-REQ-08).</w:t>
            </w:r>
          </w:p>
        </w:tc>
      </w:tr>
      <w:tr>
        <w:tc>
          <w:tcPr>
            <w:tcW w:type="dxa" w:w="2407"/>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content_hash</w:t>
            </w:r>
          </w:p>
        </w:tc>
        <w:tc>
          <w:tcPr>
            <w:tcW w:type="dxa" w:w="2006"/>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text</w:t>
            </w:r>
          </w:p>
        </w:tc>
        <w:tc>
          <w:tcPr>
            <w:tcW w:type="dxa" w:w="494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Drives change detection and staleness (FR-TRC-04).</w:t>
            </w:r>
          </w:p>
        </w:tc>
      </w:tr>
    </w:tbl>
    <w:p>
      <w:pPr>
        <w:pStyle w:val="Heading3"/>
        <w:spacing w:after="90" w:before="200"/>
      </w:pPr>
      <w:r>
        <w:rPr>
          <w:rFonts w:ascii="Calibri" w:cs="Calibri" w:eastAsia="Calibri" w:hAnsi="Calibri"/>
          <w:b/>
          <w:bCs/>
          <w:color w:val="404040"/>
          <w:sz w:val="22"/>
          <w:szCs w:val="22"/>
        </w:rPr>
        <w:t xml:space="preserve">api_specs / endpoints</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2407"/>
        <w:gridCol w:w="2006"/>
        <w:gridCol w:w="4947"/>
      </w:tblGrid>
      <w:tr>
        <w:trPr>
          <w:tblHeader/>
        </w:trPr>
        <w:tc>
          <w:tcPr>
            <w:tcW w:type="dxa" w:w="2407"/>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8"/>
                <w:szCs w:val="18"/>
              </w:rPr>
              <w:t xml:space="preserve">Column</w:t>
            </w:r>
          </w:p>
        </w:tc>
        <w:tc>
          <w:tcPr>
            <w:tcW w:type="dxa" w:w="2006"/>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8"/>
                <w:szCs w:val="18"/>
              </w:rPr>
              <w:t xml:space="preserve">Type</w:t>
            </w:r>
          </w:p>
        </w:tc>
        <w:tc>
          <w:tcPr>
            <w:tcW w:type="dxa" w:w="4947"/>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8"/>
                <w:szCs w:val="18"/>
              </w:rPr>
              <w:t xml:space="preserve">Notes</w:t>
            </w:r>
          </w:p>
        </w:tc>
      </w:tr>
      <w:tr>
        <w:tc>
          <w:tcPr>
            <w:tcW w:type="dxa" w:w="2407"/>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api_specs.project_id</w:t>
            </w:r>
          </w:p>
        </w:tc>
        <w:tc>
          <w:tcPr>
            <w:tcW w:type="dxa" w:w="2006"/>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uuid FK</w:t>
            </w:r>
          </w:p>
        </w:tc>
        <w:tc>
          <w:tcPr>
            <w:tcW w:type="dxa" w:w="494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
            </w:r>
          </w:p>
        </w:tc>
      </w:tr>
      <w:tr>
        <w:tc>
          <w:tcPr>
            <w:tcW w:type="dxa" w:w="240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api_specs.source, format, version</w:t>
            </w:r>
          </w:p>
        </w:tc>
        <w:tc>
          <w:tcPr>
            <w:tcW w:type="dxa" w:w="2006"/>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text / int</w:t>
            </w:r>
          </w:p>
        </w:tc>
        <w:tc>
          <w:tcPr>
            <w:tcW w:type="dxa" w:w="494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File or URL; openapi3 | swagger2.</w:t>
            </w:r>
          </w:p>
        </w:tc>
      </w:tr>
      <w:tr>
        <w:tc>
          <w:tcPr>
            <w:tcW w:type="dxa" w:w="2407"/>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endpoints.api_spec_id</w:t>
            </w:r>
          </w:p>
        </w:tc>
        <w:tc>
          <w:tcPr>
            <w:tcW w:type="dxa" w:w="2006"/>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uuid FK</w:t>
            </w:r>
          </w:p>
        </w:tc>
        <w:tc>
          <w:tcPr>
            <w:tcW w:type="dxa" w:w="494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
            </w:r>
          </w:p>
        </w:tc>
      </w:tr>
      <w:tr>
        <w:tc>
          <w:tcPr>
            <w:tcW w:type="dxa" w:w="240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endpoints.method, path, operation_id</w:t>
            </w:r>
          </w:p>
        </w:tc>
        <w:tc>
          <w:tcPr>
            <w:tcW w:type="dxa" w:w="2006"/>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text</w:t>
            </w:r>
          </w:p>
        </w:tc>
        <w:tc>
          <w:tcPr>
            <w:tcW w:type="dxa" w:w="494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Composite natural key within a spec version.</w:t>
            </w:r>
          </w:p>
        </w:tc>
      </w:tr>
      <w:tr>
        <w:tc>
          <w:tcPr>
            <w:tcW w:type="dxa" w:w="2407"/>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endpoints.parameters</w:t>
            </w:r>
          </w:p>
        </w:tc>
        <w:tc>
          <w:tcPr>
            <w:tcW w:type="dxa" w:w="2006"/>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jsonb</w:t>
            </w:r>
          </w:p>
        </w:tc>
        <w:tc>
          <w:tcPr>
            <w:tcW w:type="dxa" w:w="494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Name, location, type, required, constraints.</w:t>
            </w:r>
          </w:p>
        </w:tc>
      </w:tr>
      <w:tr>
        <w:tc>
          <w:tcPr>
            <w:tcW w:type="dxa" w:w="240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endpoints.request_schema</w:t>
            </w:r>
          </w:p>
        </w:tc>
        <w:tc>
          <w:tcPr>
            <w:tcW w:type="dxa" w:w="2006"/>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jsonb</w:t>
            </w:r>
          </w:p>
        </w:tc>
        <w:tc>
          <w:tcPr>
            <w:tcW w:type="dxa" w:w="494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
            </w:r>
          </w:p>
        </w:tc>
      </w:tr>
      <w:tr>
        <w:tc>
          <w:tcPr>
            <w:tcW w:type="dxa" w:w="2407"/>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endpoints.response_schemas</w:t>
            </w:r>
          </w:p>
        </w:tc>
        <w:tc>
          <w:tcPr>
            <w:tcW w:type="dxa" w:w="2006"/>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jsonb</w:t>
            </w:r>
          </w:p>
        </w:tc>
        <w:tc>
          <w:tcPr>
            <w:tcW w:type="dxa" w:w="494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Keyed by status code.</w:t>
            </w:r>
          </w:p>
        </w:tc>
      </w:tr>
      <w:tr>
        <w:tc>
          <w:tcPr>
            <w:tcW w:type="dxa" w:w="240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endpoints.security</w:t>
            </w:r>
          </w:p>
        </w:tc>
        <w:tc>
          <w:tcPr>
            <w:tcW w:type="dxa" w:w="2006"/>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jsonb</w:t>
            </w:r>
          </w:p>
        </w:tc>
        <w:tc>
          <w:tcPr>
            <w:tcW w:type="dxa" w:w="494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Declared security requirements.</w:t>
            </w:r>
          </w:p>
        </w:tc>
      </w:tr>
      <w:tr>
        <w:tc>
          <w:tcPr>
            <w:tcW w:type="dxa" w:w="2407"/>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endpoints.excluded</w:t>
            </w:r>
          </w:p>
        </w:tc>
        <w:tc>
          <w:tcPr>
            <w:tcW w:type="dxa" w:w="2006"/>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boolean</w:t>
            </w:r>
          </w:p>
        </w:tc>
        <w:tc>
          <w:tcPr>
            <w:tcW w:type="dxa" w:w="494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User exclusion from generation (FR-DSC-05).</w:t>
            </w:r>
          </w:p>
        </w:tc>
      </w:tr>
    </w:tbl>
    <w:p>
      <w:pPr>
        <w:pStyle w:val="Heading3"/>
        <w:spacing w:after="90" w:before="200"/>
      </w:pPr>
      <w:r>
        <w:rPr>
          <w:rFonts w:ascii="Calibri" w:cs="Calibri" w:eastAsia="Calibri" w:hAnsi="Calibri"/>
          <w:b/>
          <w:bCs/>
          <w:color w:val="404040"/>
          <w:sz w:val="22"/>
          <w:szCs w:val="22"/>
        </w:rPr>
        <w:t xml:space="preserve">test_cases / test_steps</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2407"/>
        <w:gridCol w:w="2006"/>
        <w:gridCol w:w="4947"/>
      </w:tblGrid>
      <w:tr>
        <w:trPr>
          <w:tblHeader/>
        </w:trPr>
        <w:tc>
          <w:tcPr>
            <w:tcW w:type="dxa" w:w="2407"/>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8"/>
                <w:szCs w:val="18"/>
              </w:rPr>
              <w:t xml:space="preserve">Column</w:t>
            </w:r>
          </w:p>
        </w:tc>
        <w:tc>
          <w:tcPr>
            <w:tcW w:type="dxa" w:w="2006"/>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8"/>
                <w:szCs w:val="18"/>
              </w:rPr>
              <w:t xml:space="preserve">Type</w:t>
            </w:r>
          </w:p>
        </w:tc>
        <w:tc>
          <w:tcPr>
            <w:tcW w:type="dxa" w:w="4947"/>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8"/>
                <w:szCs w:val="18"/>
              </w:rPr>
              <w:t xml:space="preserve">Notes</w:t>
            </w:r>
          </w:p>
        </w:tc>
      </w:tr>
      <w:tr>
        <w:tc>
          <w:tcPr>
            <w:tcW w:type="dxa" w:w="2407"/>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test_cases.project_id</w:t>
            </w:r>
          </w:p>
        </w:tc>
        <w:tc>
          <w:tcPr>
            <w:tcW w:type="dxa" w:w="2006"/>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uuid FK</w:t>
            </w:r>
          </w:p>
        </w:tc>
        <w:tc>
          <w:tcPr>
            <w:tcW w:type="dxa" w:w="494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
            </w:r>
          </w:p>
        </w:tc>
      </w:tr>
      <w:tr>
        <w:tc>
          <w:tcPr>
            <w:tcW w:type="dxa" w:w="240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test_cases.title, description, preconditions</w:t>
            </w:r>
          </w:p>
        </w:tc>
        <w:tc>
          <w:tcPr>
            <w:tcW w:type="dxa" w:w="2006"/>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text</w:t>
            </w:r>
          </w:p>
        </w:tc>
        <w:tc>
          <w:tcPr>
            <w:tcW w:type="dxa" w:w="494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
            </w:r>
          </w:p>
        </w:tc>
      </w:tr>
      <w:tr>
        <w:tc>
          <w:tcPr>
            <w:tcW w:type="dxa" w:w="2407"/>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test_cases.type</w:t>
            </w:r>
          </w:p>
        </w:tc>
        <w:tc>
          <w:tcPr>
            <w:tcW w:type="dxa" w:w="2006"/>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text</w:t>
            </w:r>
          </w:p>
        </w:tc>
        <w:tc>
          <w:tcPr>
            <w:tcW w:type="dxa" w:w="494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positive | negative | boundary.</w:t>
            </w:r>
          </w:p>
        </w:tc>
      </w:tr>
      <w:tr>
        <w:tc>
          <w:tcPr>
            <w:tcW w:type="dxa" w:w="240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test_cases.state</w:t>
            </w:r>
          </w:p>
        </w:tc>
        <w:tc>
          <w:tcPr>
            <w:tcW w:type="dxa" w:w="2006"/>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text</w:t>
            </w:r>
          </w:p>
        </w:tc>
        <w:tc>
          <w:tcPr>
            <w:tcW w:type="dxa" w:w="494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draft | approved | rejected | stale | archived.</w:t>
            </w:r>
          </w:p>
        </w:tc>
      </w:tr>
      <w:tr>
        <w:tc>
          <w:tcPr>
            <w:tcW w:type="dxa" w:w="2407"/>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test_cases.generated</w:t>
            </w:r>
          </w:p>
        </w:tc>
        <w:tc>
          <w:tcPr>
            <w:tcW w:type="dxa" w:w="2006"/>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boolean</w:t>
            </w:r>
          </w:p>
        </w:tc>
        <w:tc>
          <w:tcPr>
            <w:tcW w:type="dxa" w:w="494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False for manually authored cases.</w:t>
            </w:r>
          </w:p>
        </w:tc>
      </w:tr>
      <w:tr>
        <w:tc>
          <w:tcPr>
            <w:tcW w:type="dxa" w:w="240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test_cases.model, prompt_version</w:t>
            </w:r>
          </w:p>
        </w:tc>
        <w:tc>
          <w:tcPr>
            <w:tcW w:type="dxa" w:w="2006"/>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text</w:t>
            </w:r>
          </w:p>
        </w:tc>
        <w:tc>
          <w:tcPr>
            <w:tcW w:type="dxa" w:w="494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Provenance for quality evaluation (FR-GEN-09).</w:t>
            </w:r>
          </w:p>
        </w:tc>
      </w:tr>
      <w:tr>
        <w:tc>
          <w:tcPr>
            <w:tcW w:type="dxa" w:w="2407"/>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test_cases.approved_by, approved_at</w:t>
            </w:r>
          </w:p>
        </w:tc>
        <w:tc>
          <w:tcPr>
            <w:tcW w:type="dxa" w:w="2006"/>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uuid / timestamptz</w:t>
            </w:r>
          </w:p>
        </w:tc>
        <w:tc>
          <w:tcPr>
            <w:tcW w:type="dxa" w:w="494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Audit trail (FR-REV-05).</w:t>
            </w:r>
          </w:p>
        </w:tc>
      </w:tr>
      <w:tr>
        <w:tc>
          <w:tcPr>
            <w:tcW w:type="dxa" w:w="240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test_cases.version</w:t>
            </w:r>
          </w:p>
        </w:tc>
        <w:tc>
          <w:tcPr>
            <w:tcW w:type="dxa" w:w="2006"/>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int</w:t>
            </w:r>
          </w:p>
        </w:tc>
        <w:tc>
          <w:tcPr>
            <w:tcW w:type="dxa" w:w="494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Referenced by results for immutability.</w:t>
            </w:r>
          </w:p>
        </w:tc>
      </w:tr>
      <w:tr>
        <w:tc>
          <w:tcPr>
            <w:tcW w:type="dxa" w:w="2407"/>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test_steps.test_case_id, order</w:t>
            </w:r>
          </w:p>
        </w:tc>
        <w:tc>
          <w:tcPr>
            <w:tcW w:type="dxa" w:w="2006"/>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uuid FK / int</w:t>
            </w:r>
          </w:p>
        </w:tc>
        <w:tc>
          <w:tcPr>
            <w:tcW w:type="dxa" w:w="494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
            </w:r>
          </w:p>
        </w:tc>
      </w:tr>
      <w:tr>
        <w:tc>
          <w:tcPr>
            <w:tcW w:type="dxa" w:w="240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test_steps.endpoint_id</w:t>
            </w:r>
          </w:p>
        </w:tc>
        <w:tc>
          <w:tcPr>
            <w:tcW w:type="dxa" w:w="2006"/>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uuid FK</w:t>
            </w:r>
          </w:p>
        </w:tc>
        <w:tc>
          <w:tcPr>
            <w:tcW w:type="dxa" w:w="494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Enforced non-null for generated steps — the grounding link at the database level.</w:t>
            </w:r>
          </w:p>
        </w:tc>
      </w:tr>
      <w:tr>
        <w:tc>
          <w:tcPr>
            <w:tcW w:type="dxa" w:w="2407"/>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test_steps.request</w:t>
            </w:r>
          </w:p>
        </w:tc>
        <w:tc>
          <w:tcPr>
            <w:tcW w:type="dxa" w:w="2006"/>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jsonb</w:t>
            </w:r>
          </w:p>
        </w:tc>
        <w:tc>
          <w:tcPr>
            <w:tcW w:type="dxa" w:w="494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Headers, parameters, body with variable placeholders.</w:t>
            </w:r>
          </w:p>
        </w:tc>
      </w:tr>
      <w:tr>
        <w:tc>
          <w:tcPr>
            <w:tcW w:type="dxa" w:w="240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test_steps.assertions</w:t>
            </w:r>
          </w:p>
        </w:tc>
        <w:tc>
          <w:tcPr>
            <w:tcW w:type="dxa" w:w="2006"/>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jsonb</w:t>
            </w:r>
          </w:p>
        </w:tc>
        <w:tc>
          <w:tcPr>
            <w:tcW w:type="dxa" w:w="494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Ordered assertion definitions.</w:t>
            </w:r>
          </w:p>
        </w:tc>
      </w:tr>
      <w:tr>
        <w:tc>
          <w:tcPr>
            <w:tcW w:type="dxa" w:w="2407"/>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test_steps.extractions</w:t>
            </w:r>
          </w:p>
        </w:tc>
        <w:tc>
          <w:tcPr>
            <w:tcW w:type="dxa" w:w="2006"/>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jsonb</w:t>
            </w:r>
          </w:p>
        </w:tc>
        <w:tc>
          <w:tcPr>
            <w:tcW w:type="dxa" w:w="494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Values captured for later steps (FR-EXE-05).</w:t>
            </w:r>
          </w:p>
        </w:tc>
      </w:tr>
    </w:tbl>
    <w:p>
      <w:pPr>
        <w:pStyle w:val="Heading3"/>
        <w:spacing w:after="90" w:before="200"/>
      </w:pPr>
      <w:r>
        <w:rPr>
          <w:rFonts w:ascii="Calibri" w:cs="Calibri" w:eastAsia="Calibri" w:hAnsi="Calibri"/>
          <w:b/>
          <w:bCs/>
          <w:color w:val="404040"/>
          <w:sz w:val="22"/>
          <w:szCs w:val="22"/>
        </w:rPr>
        <w:t xml:space="preserve">requirement_test_cases</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2407"/>
        <w:gridCol w:w="2006"/>
        <w:gridCol w:w="4947"/>
      </w:tblGrid>
      <w:tr>
        <w:trPr>
          <w:tblHeader/>
        </w:trPr>
        <w:tc>
          <w:tcPr>
            <w:tcW w:type="dxa" w:w="2407"/>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8"/>
                <w:szCs w:val="18"/>
              </w:rPr>
              <w:t xml:space="preserve">Column</w:t>
            </w:r>
          </w:p>
        </w:tc>
        <w:tc>
          <w:tcPr>
            <w:tcW w:type="dxa" w:w="2006"/>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8"/>
                <w:szCs w:val="18"/>
              </w:rPr>
              <w:t xml:space="preserve">Type</w:t>
            </w:r>
          </w:p>
        </w:tc>
        <w:tc>
          <w:tcPr>
            <w:tcW w:type="dxa" w:w="4947"/>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8"/>
                <w:szCs w:val="18"/>
              </w:rPr>
              <w:t xml:space="preserve">Notes</w:t>
            </w:r>
          </w:p>
        </w:tc>
      </w:tr>
      <w:tr>
        <w:tc>
          <w:tcPr>
            <w:tcW w:type="dxa" w:w="2407"/>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requirement_id</w:t>
            </w:r>
          </w:p>
        </w:tc>
        <w:tc>
          <w:tcPr>
            <w:tcW w:type="dxa" w:w="2006"/>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uuid FK</w:t>
            </w:r>
          </w:p>
        </w:tc>
        <w:tc>
          <w:tcPr>
            <w:tcW w:type="dxa" w:w="494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Composite primary key with test_case_id.</w:t>
            </w:r>
          </w:p>
        </w:tc>
      </w:tr>
      <w:tr>
        <w:tc>
          <w:tcPr>
            <w:tcW w:type="dxa" w:w="240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test_case_id</w:t>
            </w:r>
          </w:p>
        </w:tc>
        <w:tc>
          <w:tcPr>
            <w:tcW w:type="dxa" w:w="2006"/>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uuid FK</w:t>
            </w:r>
          </w:p>
        </w:tc>
        <w:tc>
          <w:tcPr>
            <w:tcW w:type="dxa" w:w="494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
            </w:r>
          </w:p>
        </w:tc>
      </w:tr>
      <w:tr>
        <w:tc>
          <w:tcPr>
            <w:tcW w:type="dxa" w:w="2407"/>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link_source</w:t>
            </w:r>
          </w:p>
        </w:tc>
        <w:tc>
          <w:tcPr>
            <w:tcW w:type="dxa" w:w="2006"/>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text</w:t>
            </w:r>
          </w:p>
        </w:tc>
        <w:tc>
          <w:tcPr>
            <w:tcW w:type="dxa" w:w="494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generated | manual.</w:t>
            </w:r>
          </w:p>
        </w:tc>
      </w:tr>
      <w:tr>
        <w:tc>
          <w:tcPr>
            <w:tcW w:type="dxa" w:w="240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requirement_version_at_link</w:t>
            </w:r>
          </w:p>
        </w:tc>
        <w:tc>
          <w:tcPr>
            <w:tcW w:type="dxa" w:w="2006"/>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int</w:t>
            </w:r>
          </w:p>
        </w:tc>
        <w:tc>
          <w:tcPr>
            <w:tcW w:type="dxa" w:w="494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The version approved against; comparison to the current version drives staleness.</w:t>
            </w:r>
          </w:p>
        </w:tc>
      </w:tr>
    </w:tbl>
    <w:p>
      <w:pPr>
        <w:spacing w:after="120" w:line="276"/>
      </w:pPr>
      <w:r>
        <w:rPr>
          <w:rFonts w:ascii="Calibri" w:cs="Calibri" w:eastAsia="Calibri" w:hAnsi="Calibri"/>
          <w:b w:val="false"/>
          <w:bCs w:val="false"/>
          <w:i/>
          <w:iCs/>
          <w:color w:val="262626"/>
          <w:sz w:val="21"/>
          <w:szCs w:val="21"/>
        </w:rPr>
        <w:t xml:space="preserve">This table is the product. It is the reason PostgreSQL was chosen, the reason coverage gaps are computable, and the reason a changed requirement can invalidate exactly the right test cases.</w:t>
      </w:r>
    </w:p>
    <w:p>
      <w:pPr>
        <w:pStyle w:val="Heading3"/>
        <w:spacing w:after="90" w:before="200"/>
      </w:pPr>
      <w:r>
        <w:rPr>
          <w:rFonts w:ascii="Calibri" w:cs="Calibri" w:eastAsia="Calibri" w:hAnsi="Calibri"/>
          <w:b/>
          <w:bCs/>
          <w:color w:val="404040"/>
          <w:sz w:val="22"/>
          <w:szCs w:val="22"/>
        </w:rPr>
        <w:t xml:space="preserve">runs / test_results</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2407"/>
        <w:gridCol w:w="2006"/>
        <w:gridCol w:w="4947"/>
      </w:tblGrid>
      <w:tr>
        <w:trPr>
          <w:tblHeader/>
        </w:trPr>
        <w:tc>
          <w:tcPr>
            <w:tcW w:type="dxa" w:w="2407"/>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8"/>
                <w:szCs w:val="18"/>
              </w:rPr>
              <w:t xml:space="preserve">Column</w:t>
            </w:r>
          </w:p>
        </w:tc>
        <w:tc>
          <w:tcPr>
            <w:tcW w:type="dxa" w:w="2006"/>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8"/>
                <w:szCs w:val="18"/>
              </w:rPr>
              <w:t xml:space="preserve">Type</w:t>
            </w:r>
          </w:p>
        </w:tc>
        <w:tc>
          <w:tcPr>
            <w:tcW w:type="dxa" w:w="4947"/>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8"/>
                <w:szCs w:val="18"/>
              </w:rPr>
              <w:t xml:space="preserve">Notes</w:t>
            </w:r>
          </w:p>
        </w:tc>
      </w:tr>
      <w:tr>
        <w:tc>
          <w:tcPr>
            <w:tcW w:type="dxa" w:w="2407"/>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runs.project_id, environment_id</w:t>
            </w:r>
          </w:p>
        </w:tc>
        <w:tc>
          <w:tcPr>
            <w:tcW w:type="dxa" w:w="2006"/>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uuid FK</w:t>
            </w:r>
          </w:p>
        </w:tc>
        <w:tc>
          <w:tcPr>
            <w:tcW w:type="dxa" w:w="494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
            </w:r>
          </w:p>
        </w:tc>
      </w:tr>
      <w:tr>
        <w:tc>
          <w:tcPr>
            <w:tcW w:type="dxa" w:w="240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runs.state</w:t>
            </w:r>
          </w:p>
        </w:tc>
        <w:tc>
          <w:tcPr>
            <w:tcW w:type="dxa" w:w="2006"/>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text</w:t>
            </w:r>
          </w:p>
        </w:tc>
        <w:tc>
          <w:tcPr>
            <w:tcW w:type="dxa" w:w="494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queued | running | completed | cancelled | aborted.</w:t>
            </w:r>
          </w:p>
        </w:tc>
      </w:tr>
      <w:tr>
        <w:tc>
          <w:tcPr>
            <w:tcW w:type="dxa" w:w="2407"/>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runs.started_at, finished_at</w:t>
            </w:r>
          </w:p>
        </w:tc>
        <w:tc>
          <w:tcPr>
            <w:tcW w:type="dxa" w:w="2006"/>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timestamptz</w:t>
            </w:r>
          </w:p>
        </w:tc>
        <w:tc>
          <w:tcPr>
            <w:tcW w:type="dxa" w:w="494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
            </w:r>
          </w:p>
        </w:tc>
      </w:tr>
      <w:tr>
        <w:tc>
          <w:tcPr>
            <w:tcW w:type="dxa" w:w="240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runs.counts</w:t>
            </w:r>
          </w:p>
        </w:tc>
        <w:tc>
          <w:tcPr>
            <w:tcW w:type="dxa" w:w="2006"/>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jsonb</w:t>
            </w:r>
          </w:p>
        </w:tc>
        <w:tc>
          <w:tcPr>
            <w:tcW w:type="dxa" w:w="494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Total, passed, failed, errored.</w:t>
            </w:r>
          </w:p>
        </w:tc>
      </w:tr>
      <w:tr>
        <w:tc>
          <w:tcPr>
            <w:tcW w:type="dxa" w:w="2407"/>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runs.initiated_by</w:t>
            </w:r>
          </w:p>
        </w:tc>
        <w:tc>
          <w:tcPr>
            <w:tcW w:type="dxa" w:w="2006"/>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uuid FK</w:t>
            </w:r>
          </w:p>
        </w:tc>
        <w:tc>
          <w:tcPr>
            <w:tcW w:type="dxa" w:w="494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
            </w:r>
          </w:p>
        </w:tc>
      </w:tr>
      <w:tr>
        <w:tc>
          <w:tcPr>
            <w:tcW w:type="dxa" w:w="240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test_results.run_id, test_case_id, test_case_version</w:t>
            </w:r>
          </w:p>
        </w:tc>
        <w:tc>
          <w:tcPr>
            <w:tcW w:type="dxa" w:w="2006"/>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uuid FK / int</w:t>
            </w:r>
          </w:p>
        </w:tc>
        <w:tc>
          <w:tcPr>
            <w:tcW w:type="dxa" w:w="494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Result binds to the exact case version executed.</w:t>
            </w:r>
          </w:p>
        </w:tc>
      </w:tr>
      <w:tr>
        <w:tc>
          <w:tcPr>
            <w:tcW w:type="dxa" w:w="2407"/>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test_results.outcome</w:t>
            </w:r>
          </w:p>
        </w:tc>
        <w:tc>
          <w:tcPr>
            <w:tcW w:type="dxa" w:w="2006"/>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text</w:t>
            </w:r>
          </w:p>
        </w:tc>
        <w:tc>
          <w:tcPr>
            <w:tcW w:type="dxa" w:w="494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passed | failed | errored.</w:t>
            </w:r>
          </w:p>
        </w:tc>
      </w:tr>
      <w:tr>
        <w:tc>
          <w:tcPr>
            <w:tcW w:type="dxa" w:w="240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test_results.duration_ms</w:t>
            </w:r>
          </w:p>
        </w:tc>
        <w:tc>
          <w:tcPr>
            <w:tcW w:type="dxa" w:w="2006"/>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int</w:t>
            </w:r>
          </w:p>
        </w:tc>
        <w:tc>
          <w:tcPr>
            <w:tcW w:type="dxa" w:w="494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
            </w:r>
          </w:p>
        </w:tc>
      </w:tr>
      <w:tr>
        <w:tc>
          <w:tcPr>
            <w:tcW w:type="dxa" w:w="2407"/>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test_results.failure_reason</w:t>
            </w:r>
          </w:p>
        </w:tc>
        <w:tc>
          <w:tcPr>
            <w:tcW w:type="dxa" w:w="2006"/>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text</w:t>
            </w:r>
          </w:p>
        </w:tc>
        <w:tc>
          <w:tcPr>
            <w:tcW w:type="dxa" w:w="494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Assertion that failed, expected and actual.</w:t>
            </w:r>
          </w:p>
        </w:tc>
      </w:tr>
      <w:tr>
        <w:tc>
          <w:tcPr>
            <w:tcW w:type="dxa" w:w="240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test_results.evidence</w:t>
            </w:r>
          </w:p>
        </w:tc>
        <w:tc>
          <w:tcPr>
            <w:tcW w:type="dxa" w:w="2006"/>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jsonb</w:t>
            </w:r>
          </w:p>
        </w:tc>
        <w:tc>
          <w:tcPr>
            <w:tcW w:type="dxa" w:w="494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Per-step request and response, redacted and truncated.</w:t>
            </w:r>
          </w:p>
        </w:tc>
      </w:tr>
    </w:tbl>
    <w:p>
      <w:pPr>
        <w:pStyle w:val="Heading3"/>
        <w:spacing w:after="90" w:before="200"/>
      </w:pPr>
      <w:r>
        <w:rPr>
          <w:rFonts w:ascii="Calibri" w:cs="Calibri" w:eastAsia="Calibri" w:hAnsi="Calibri"/>
          <w:b/>
          <w:bCs/>
          <w:color w:val="404040"/>
          <w:sz w:val="22"/>
          <w:szCs w:val="22"/>
        </w:rPr>
        <w:t xml:space="preserve">audit_entries</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2407"/>
        <w:gridCol w:w="2006"/>
        <w:gridCol w:w="4947"/>
      </w:tblGrid>
      <w:tr>
        <w:trPr>
          <w:tblHeader/>
        </w:trPr>
        <w:tc>
          <w:tcPr>
            <w:tcW w:type="dxa" w:w="2407"/>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8"/>
                <w:szCs w:val="18"/>
              </w:rPr>
              <w:t xml:space="preserve">Column</w:t>
            </w:r>
          </w:p>
        </w:tc>
        <w:tc>
          <w:tcPr>
            <w:tcW w:type="dxa" w:w="2006"/>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8"/>
                <w:szCs w:val="18"/>
              </w:rPr>
              <w:t xml:space="preserve">Type</w:t>
            </w:r>
          </w:p>
        </w:tc>
        <w:tc>
          <w:tcPr>
            <w:tcW w:type="dxa" w:w="4947"/>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8"/>
                <w:szCs w:val="18"/>
              </w:rPr>
              <w:t xml:space="preserve">Notes</w:t>
            </w:r>
          </w:p>
        </w:tc>
      </w:tr>
      <w:tr>
        <w:tc>
          <w:tcPr>
            <w:tcW w:type="dxa" w:w="2407"/>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organisation_id, actor_id</w:t>
            </w:r>
          </w:p>
        </w:tc>
        <w:tc>
          <w:tcPr>
            <w:tcW w:type="dxa" w:w="2006"/>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uuid FK</w:t>
            </w:r>
          </w:p>
        </w:tc>
        <w:tc>
          <w:tcPr>
            <w:tcW w:type="dxa" w:w="494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
            </w:r>
          </w:p>
        </w:tc>
      </w:tr>
      <w:tr>
        <w:tc>
          <w:tcPr>
            <w:tcW w:type="dxa" w:w="240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action</w:t>
            </w:r>
          </w:p>
        </w:tc>
        <w:tc>
          <w:tcPr>
            <w:tcW w:type="dxa" w:w="2006"/>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text</w:t>
            </w:r>
          </w:p>
        </w:tc>
        <w:tc>
          <w:tcPr>
            <w:tcW w:type="dxa" w:w="494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Enumerated action type.</w:t>
            </w:r>
          </w:p>
        </w:tc>
      </w:tr>
      <w:tr>
        <w:tc>
          <w:tcPr>
            <w:tcW w:type="dxa" w:w="2407"/>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object_type, object_id</w:t>
            </w:r>
          </w:p>
        </w:tc>
        <w:tc>
          <w:tcPr>
            <w:tcW w:type="dxa" w:w="2006"/>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text / uuid</w:t>
            </w:r>
          </w:p>
        </w:tc>
        <w:tc>
          <w:tcPr>
            <w:tcW w:type="dxa" w:w="494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
            </w:r>
          </w:p>
        </w:tc>
      </w:tr>
      <w:tr>
        <w:tc>
          <w:tcPr>
            <w:tcW w:type="dxa" w:w="240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detail</w:t>
            </w:r>
          </w:p>
        </w:tc>
        <w:tc>
          <w:tcPr>
            <w:tcW w:type="dxa" w:w="2006"/>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jsonb</w:t>
            </w:r>
          </w:p>
        </w:tc>
        <w:tc>
          <w:tcPr>
            <w:tcW w:type="dxa" w:w="494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Before and after where applicable.</w:t>
            </w:r>
          </w:p>
        </w:tc>
      </w:tr>
      <w:tr>
        <w:tc>
          <w:tcPr>
            <w:tcW w:type="dxa" w:w="2407"/>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occurred_at</w:t>
            </w:r>
          </w:p>
        </w:tc>
        <w:tc>
          <w:tcPr>
            <w:tcW w:type="dxa" w:w="2006"/>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timestamptz</w:t>
            </w:r>
          </w:p>
        </w:tc>
        <w:tc>
          <w:tcPr>
            <w:tcW w:type="dxa" w:w="494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Append-only; no update or delete permission granted to the application role (NFR-SEC-08).</w:t>
            </w:r>
          </w:p>
        </w:tc>
      </w:tr>
    </w:tbl>
    <w:p>
      <w:pPr>
        <w:pStyle w:val="Heading2"/>
        <w:spacing w:after="110" w:before="260"/>
      </w:pPr>
      <w:r>
        <w:rPr>
          <w:rFonts w:ascii="Calibri" w:cs="Calibri" w:eastAsia="Calibri" w:hAnsi="Calibri"/>
          <w:b/>
          <w:bCs/>
          <w:color w:val="2E75B6"/>
          <w:sz w:val="25"/>
          <w:szCs w:val="25"/>
        </w:rPr>
        <w:t xml:space="preserve">5.2 Indexing and performance notes</w:t>
      </w:r>
    </w:p>
    <w:p>
      <w:pPr>
        <w:pStyle w:val="ListParagraph"/>
        <w:numPr>
          <w:ilvl w:val="0"/>
          <w:numId w:val="2"/>
        </w:numPr>
        <w:spacing w:after="70" w:line="268"/>
      </w:pPr>
      <w:r>
        <w:rPr>
          <w:rFonts w:ascii="Calibri" w:cs="Calibri" w:eastAsia="Calibri" w:hAnsi="Calibri"/>
          <w:b w:val="false"/>
          <w:bCs w:val="false"/>
          <w:i w:val="false"/>
          <w:iCs w:val="false"/>
          <w:color w:val="262626"/>
          <w:sz w:val="21"/>
          <w:szCs w:val="21"/>
        </w:rPr>
        <w:t xml:space="preserve">Composite index on requirement_test_cases in both directions; the matrix query drives both.</w:t>
      </w:r>
    </w:p>
    <w:p>
      <w:pPr>
        <w:pStyle w:val="ListParagraph"/>
        <w:numPr>
          <w:ilvl w:val="0"/>
          <w:numId w:val="2"/>
        </w:numPr>
        <w:spacing w:after="70" w:line="268"/>
      </w:pPr>
      <w:r>
        <w:rPr>
          <w:rFonts w:ascii="Calibri" w:cs="Calibri" w:eastAsia="Calibri" w:hAnsi="Calibri"/>
          <w:b w:val="false"/>
          <w:bCs w:val="false"/>
          <w:i w:val="false"/>
          <w:iCs w:val="false"/>
          <w:color w:val="262626"/>
          <w:sz w:val="21"/>
          <w:szCs w:val="21"/>
        </w:rPr>
        <w:t xml:space="preserve">Partial index on test_cases where state = approved — the execution and coverage paths only ever read this subset.</w:t>
      </w:r>
    </w:p>
    <w:p>
      <w:pPr>
        <w:pStyle w:val="ListParagraph"/>
        <w:numPr>
          <w:ilvl w:val="0"/>
          <w:numId w:val="2"/>
        </w:numPr>
        <w:spacing w:after="70" w:line="268"/>
      </w:pPr>
      <w:r>
        <w:rPr>
          <w:rFonts w:ascii="Calibri" w:cs="Calibri" w:eastAsia="Calibri" w:hAnsi="Calibri"/>
          <w:b w:val="false"/>
          <w:bCs w:val="false"/>
          <w:i w:val="false"/>
          <w:iCs w:val="false"/>
          <w:color w:val="262626"/>
          <w:sz w:val="21"/>
          <w:szCs w:val="21"/>
        </w:rPr>
        <w:t xml:space="preserve">Index on test_results (test_case_id, run_id desc) to resolve "latest result per case" without a sequential scan.</w:t>
      </w:r>
    </w:p>
    <w:p>
      <w:pPr>
        <w:pStyle w:val="ListParagraph"/>
        <w:numPr>
          <w:ilvl w:val="0"/>
          <w:numId w:val="2"/>
        </w:numPr>
        <w:spacing w:after="70" w:line="268"/>
      </w:pPr>
      <w:r>
        <w:rPr>
          <w:rFonts w:ascii="Calibri" w:cs="Calibri" w:eastAsia="Calibri" w:hAnsi="Calibri"/>
          <w:b w:val="false"/>
          <w:bCs w:val="false"/>
          <w:i w:val="false"/>
          <w:iCs w:val="false"/>
          <w:color w:val="262626"/>
          <w:sz w:val="21"/>
          <w:szCs w:val="21"/>
        </w:rPr>
        <w:t xml:space="preserve">Evidence payloads truncated at a configurable byte limit; the remainder is written to object storage and referenced, keeping row sizes bounded.</w:t>
      </w:r>
    </w:p>
    <w:p>
      <w:pPr>
        <w:pStyle w:val="ListParagraph"/>
        <w:numPr>
          <w:ilvl w:val="0"/>
          <w:numId w:val="2"/>
        </w:numPr>
        <w:spacing w:after="70" w:line="268"/>
      </w:pPr>
      <w:r>
        <w:rPr>
          <w:rFonts w:ascii="Calibri" w:cs="Calibri" w:eastAsia="Calibri" w:hAnsi="Calibri"/>
          <w:b w:val="false"/>
          <w:bCs w:val="false"/>
          <w:i w:val="false"/>
          <w:iCs w:val="false"/>
          <w:color w:val="262626"/>
          <w:sz w:val="21"/>
          <w:szCs w:val="21"/>
        </w:rPr>
        <w:t xml:space="preserve">Materialised per-project coverage summary refreshed on run completion and on approval state change, to meet NFR-PERF-05 at 500 requirements.</w:t>
      </w:r>
    </w:p>
    <w:p>
      <w:pPr>
        <w:pStyle w:val="Heading1"/>
        <w:pageBreakBefore/>
        <w:spacing w:after="160" w:before="360"/>
      </w:pPr>
      <w:r>
        <w:rPr>
          <w:rFonts w:ascii="Calibri" w:cs="Calibri" w:eastAsia="Calibri" w:hAnsi="Calibri"/>
          <w:b/>
          <w:bCs/>
          <w:color w:val="1F4E79"/>
          <w:sz w:val="30"/>
          <w:szCs w:val="30"/>
        </w:rPr>
        <w:t xml:space="preserve">6. Security Design</w:t>
      </w:r>
    </w:p>
    <w:p>
      <w:pPr>
        <w:pStyle w:val="Heading2"/>
        <w:spacing w:after="110" w:before="260"/>
      </w:pPr>
      <w:r>
        <w:rPr>
          <w:rFonts w:ascii="Calibri" w:cs="Calibri" w:eastAsia="Calibri" w:hAnsi="Calibri"/>
          <w:b/>
          <w:bCs/>
          <w:color w:val="2E75B6"/>
          <w:sz w:val="25"/>
          <w:szCs w:val="25"/>
        </w:rPr>
        <w:t xml:space="preserve">6.1 Tenant isolation</w:t>
      </w:r>
    </w:p>
    <w:p>
      <w:pPr>
        <w:pStyle w:val="ListParagraph"/>
        <w:numPr>
          <w:ilvl w:val="0"/>
          <w:numId w:val="2"/>
        </w:numPr>
        <w:spacing w:after="70" w:line="268"/>
      </w:pPr>
      <w:r>
        <w:rPr>
          <w:rFonts w:ascii="Calibri" w:cs="Calibri" w:eastAsia="Calibri" w:hAnsi="Calibri"/>
          <w:b w:val="false"/>
          <w:bCs w:val="false"/>
          <w:i w:val="false"/>
          <w:iCs w:val="false"/>
          <w:color w:val="262626"/>
          <w:sz w:val="21"/>
          <w:szCs w:val="21"/>
        </w:rPr>
        <w:t xml:space="preserve">PostgreSQL row-level security keyed on organisation_id, with the application connecting as a role that cannot bypass it. Isolation is enforced at the query layer, not by application filtering alone (SRS NFR-SEC-04).</w:t>
      </w:r>
    </w:p>
    <w:p>
      <w:pPr>
        <w:pStyle w:val="ListParagraph"/>
        <w:numPr>
          <w:ilvl w:val="0"/>
          <w:numId w:val="2"/>
        </w:numPr>
        <w:spacing w:after="70" w:line="268"/>
      </w:pPr>
      <w:r>
        <w:rPr>
          <w:rFonts w:ascii="Calibri" w:cs="Calibri" w:eastAsia="Calibri" w:hAnsi="Calibri"/>
          <w:b w:val="false"/>
          <w:bCs w:val="false"/>
          <w:i w:val="false"/>
          <w:iCs w:val="false"/>
          <w:color w:val="262626"/>
          <w:sz w:val="21"/>
          <w:szCs w:val="21"/>
        </w:rPr>
        <w:t xml:space="preserve">Every API handler resolves the organisation from the authenticated session, never from a client-supplied parameter.</w:t>
      </w:r>
    </w:p>
    <w:p>
      <w:pPr>
        <w:pStyle w:val="ListParagraph"/>
        <w:numPr>
          <w:ilvl w:val="0"/>
          <w:numId w:val="2"/>
        </w:numPr>
        <w:spacing w:after="70" w:line="268"/>
      </w:pPr>
      <w:r>
        <w:rPr>
          <w:rFonts w:ascii="Calibri" w:cs="Calibri" w:eastAsia="Calibri" w:hAnsi="Calibri"/>
          <w:b w:val="false"/>
          <w:bCs w:val="false"/>
          <w:i w:val="false"/>
          <w:iCs w:val="false"/>
          <w:color w:val="262626"/>
          <w:sz w:val="21"/>
          <w:szCs w:val="21"/>
        </w:rPr>
        <w:t xml:space="preserve">Cross-tenant access is covered by an automated test suite executed against every endpoint on every build, and is a release gate (NFR-MNT-04).</w:t>
      </w:r>
    </w:p>
    <w:p>
      <w:pPr>
        <w:pStyle w:val="Heading2"/>
        <w:spacing w:after="110" w:before="260"/>
      </w:pPr>
      <w:r>
        <w:rPr>
          <w:rFonts w:ascii="Calibri" w:cs="Calibri" w:eastAsia="Calibri" w:hAnsi="Calibri"/>
          <w:b/>
          <w:bCs/>
          <w:color w:val="2E75B6"/>
          <w:sz w:val="25"/>
          <w:szCs w:val="25"/>
        </w:rPr>
        <w:t xml:space="preserve">6.2 Secret handling</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2407"/>
        <w:gridCol w:w="6953"/>
      </w:tblGrid>
      <w:tr>
        <w:trPr>
          <w:tblHeader/>
        </w:trPr>
        <w:tc>
          <w:tcPr>
            <w:tcW w:type="dxa" w:w="2407"/>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Control</w:t>
            </w:r>
          </w:p>
        </w:tc>
        <w:tc>
          <w:tcPr>
            <w:tcW w:type="dxa" w:w="6953"/>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Implementation</w:t>
            </w:r>
          </w:p>
        </w:tc>
      </w:tr>
      <w:tr>
        <w:tc>
          <w:tcPr>
            <w:tcW w:type="dxa" w:w="240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Encryption at rest</w:t>
            </w:r>
          </w:p>
        </w:tc>
        <w:tc>
          <w:tcPr>
            <w:tcW w:type="dxa" w:w="6953"/>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Envelope encryption with AES-256-GCM. Data keys are per-organisation and are themselves encrypted by a master key held outside the database — in a KMS for hosted deployments, in a file-backed or HSM-backed store for on-premise.</w:t>
            </w:r>
          </w:p>
        </w:tc>
      </w:tr>
      <w:tr>
        <w:tc>
          <w:tcPr>
            <w:tcW w:type="dxa" w:w="240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Write-only interface</w:t>
            </w:r>
          </w:p>
        </w:tc>
        <w:tc>
          <w:tcPr>
            <w:tcW w:type="dxa" w:w="6953"/>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A stored secret is never returned by any API. Update replaces; read returns a masked indicator only (SRS FR-PRJ-04).</w:t>
            </w:r>
          </w:p>
        </w:tc>
      </w:tr>
      <w:tr>
        <w:tc>
          <w:tcPr>
            <w:tcW w:type="dxa" w:w="240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Redaction before persistence</w:t>
            </w:r>
          </w:p>
        </w:tc>
        <w:tc>
          <w:tcPr>
            <w:tcW w:type="dxa" w:w="6953"/>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Evidence capture redacts known secret values and authorisation headers before writing. Redaction is applied at the capture point, not at render time, so no unredacted copy ever exists at rest (NFR-SEC-03).</w:t>
            </w:r>
          </w:p>
        </w:tc>
      </w:tr>
      <w:tr>
        <w:tc>
          <w:tcPr>
            <w:tcW w:type="dxa" w:w="240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In-memory lifetime</w:t>
            </w:r>
          </w:p>
        </w:tc>
        <w:tc>
          <w:tcPr>
            <w:tcW w:type="dxa" w:w="6953"/>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Run authentication tokens are held for the run duration and are never written to the database, logs or evidence.</w:t>
            </w:r>
          </w:p>
        </w:tc>
      </w:tr>
      <w:tr>
        <w:tc>
          <w:tcPr>
            <w:tcW w:type="dxa" w:w="240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Log hygiene</w:t>
            </w:r>
          </w:p>
        </w:tc>
        <w:tc>
          <w:tcPr>
            <w:tcW w:type="dxa" w:w="6953"/>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A structured logging filter drops any field matching the secret key patterns, as a defence in depth behind the primary redaction.</w:t>
            </w:r>
          </w:p>
        </w:tc>
      </w:tr>
    </w:tbl>
    <w:p>
      <w:pPr>
        <w:pStyle w:val="Heading2"/>
        <w:spacing w:after="110" w:before="260"/>
      </w:pPr>
      <w:r>
        <w:rPr>
          <w:rFonts w:ascii="Calibri" w:cs="Calibri" w:eastAsia="Calibri" w:hAnsi="Calibri"/>
          <w:b/>
          <w:bCs/>
          <w:color w:val="2E75B6"/>
          <w:sz w:val="25"/>
          <w:szCs w:val="25"/>
        </w:rPr>
        <w:t xml:space="preserve">6.3 Application security controls</w:t>
      </w:r>
    </w:p>
    <w:p>
      <w:pPr>
        <w:pStyle w:val="ListParagraph"/>
        <w:numPr>
          <w:ilvl w:val="0"/>
          <w:numId w:val="2"/>
        </w:numPr>
        <w:spacing w:after="70" w:line="268"/>
      </w:pPr>
      <w:r>
        <w:rPr>
          <w:rFonts w:ascii="Calibri" w:cs="Calibri" w:eastAsia="Calibri" w:hAnsi="Calibri"/>
          <w:b w:val="false"/>
          <w:bCs w:val="false"/>
          <w:i w:val="false"/>
          <w:iCs w:val="false"/>
          <w:color w:val="262626"/>
          <w:sz w:val="21"/>
          <w:szCs w:val="21"/>
        </w:rPr>
        <w:t xml:space="preserve">Argon2id password hashing; sessions as short-lived signed tokens with server-side revocation; inactivity expiry per NFR-SEC-07.</w:t>
      </w:r>
    </w:p>
    <w:p>
      <w:pPr>
        <w:pStyle w:val="ListParagraph"/>
        <w:numPr>
          <w:ilvl w:val="0"/>
          <w:numId w:val="2"/>
        </w:numPr>
        <w:spacing w:after="70" w:line="268"/>
      </w:pPr>
      <w:r>
        <w:rPr>
          <w:rFonts w:ascii="Calibri" w:cs="Calibri" w:eastAsia="Calibri" w:hAnsi="Calibri"/>
          <w:b w:val="false"/>
          <w:bCs w:val="false"/>
          <w:i w:val="false"/>
          <w:iCs w:val="false"/>
          <w:color w:val="262626"/>
          <w:sz w:val="21"/>
          <w:szCs w:val="21"/>
        </w:rPr>
        <w:t xml:space="preserve">Rate limits on authentication, generation and run initiation (NFR-SEC-09).</w:t>
      </w:r>
    </w:p>
    <w:p>
      <w:pPr>
        <w:pStyle w:val="ListParagraph"/>
        <w:numPr>
          <w:ilvl w:val="0"/>
          <w:numId w:val="2"/>
        </w:numPr>
        <w:spacing w:after="70" w:line="268"/>
      </w:pPr>
      <w:r>
        <w:rPr>
          <w:rFonts w:ascii="Calibri" w:cs="Calibri" w:eastAsia="Calibri" w:hAnsi="Calibri"/>
          <w:b w:val="false"/>
          <w:bCs w:val="false"/>
          <w:i w:val="false"/>
          <w:iCs w:val="false"/>
          <w:color w:val="262626"/>
          <w:sz w:val="21"/>
          <w:szCs w:val="21"/>
        </w:rPr>
        <w:t xml:space="preserve">Upload validation by declared type, magic bytes and size; parsing runs in a resource-limited context with no access to application credentials (NFR-SEC-05).</w:t>
      </w:r>
    </w:p>
    <w:p>
      <w:pPr>
        <w:pStyle w:val="ListParagraph"/>
        <w:numPr>
          <w:ilvl w:val="0"/>
          <w:numId w:val="2"/>
        </w:numPr>
        <w:spacing w:after="70" w:line="268"/>
      </w:pPr>
      <w:r>
        <w:rPr>
          <w:rFonts w:ascii="Calibri" w:cs="Calibri" w:eastAsia="Calibri" w:hAnsi="Calibri"/>
          <w:b w:val="false"/>
          <w:bCs w:val="false"/>
          <w:i w:val="false"/>
          <w:iCs w:val="false"/>
          <w:color w:val="262626"/>
          <w:sz w:val="21"/>
          <w:szCs w:val="21"/>
        </w:rPr>
        <w:t xml:space="preserve">SSRF protection on every outbound fetch — specification URL retrieval and test execution alike: private and link-local ranges blocked by default, cloud metadata endpoints blocked unconditionally, redirect depth limited, response size and time bounded.</w:t>
      </w:r>
    </w:p>
    <w:p>
      <w:pPr>
        <w:pStyle w:val="ListParagraph"/>
        <w:numPr>
          <w:ilvl w:val="0"/>
          <w:numId w:val="2"/>
        </w:numPr>
        <w:spacing w:after="70" w:line="268"/>
      </w:pPr>
      <w:r>
        <w:rPr>
          <w:rFonts w:ascii="Calibri" w:cs="Calibri" w:eastAsia="Calibri" w:hAnsi="Calibri"/>
          <w:b w:val="false"/>
          <w:bCs w:val="false"/>
          <w:i w:val="false"/>
          <w:iCs w:val="false"/>
          <w:color w:val="262626"/>
          <w:sz w:val="21"/>
          <w:szCs w:val="21"/>
        </w:rPr>
        <w:t xml:space="preserve">Egress allow-list per deployment, so a customer can constrain which hosts workers may reach (SRS section 6.2).</w:t>
      </w:r>
    </w:p>
    <w:p>
      <w:pPr>
        <w:pStyle w:val="ListParagraph"/>
        <w:numPr>
          <w:ilvl w:val="0"/>
          <w:numId w:val="2"/>
        </w:numPr>
        <w:spacing w:after="70" w:line="268"/>
      </w:pPr>
      <w:r>
        <w:rPr>
          <w:rFonts w:ascii="Calibri" w:cs="Calibri" w:eastAsia="Calibri" w:hAnsi="Calibri"/>
          <w:b w:val="false"/>
          <w:bCs w:val="false"/>
          <w:i w:val="false"/>
          <w:iCs w:val="false"/>
          <w:color w:val="262626"/>
          <w:sz w:val="21"/>
          <w:szCs w:val="21"/>
        </w:rPr>
        <w:t xml:space="preserve">Dependency scanning and container image scanning in CI, with a policy on critical findings before release.</w:t>
      </w:r>
    </w:p>
    <w:p>
      <w:pPr>
        <w:pStyle w:val="Heading2"/>
        <w:spacing w:after="110" w:before="260"/>
      </w:pPr>
      <w:r>
        <w:rPr>
          <w:rFonts w:ascii="Calibri" w:cs="Calibri" w:eastAsia="Calibri" w:hAnsi="Calibri"/>
          <w:b/>
          <w:bCs/>
          <w:color w:val="2E75B6"/>
          <w:sz w:val="25"/>
          <w:szCs w:val="25"/>
        </w:rPr>
        <w:t xml:space="preserve">6.4 Data protection posture</w:t>
      </w:r>
    </w:p>
    <w:p>
      <w:pPr>
        <w:spacing w:after="120" w:line="276"/>
      </w:pPr>
      <w:r>
        <w:rPr>
          <w:rFonts w:ascii="Calibri" w:cs="Calibri" w:eastAsia="Calibri" w:hAnsi="Calibri"/>
          <w:b w:val="false"/>
          <w:bCs w:val="false"/>
          <w:i w:val="false"/>
          <w:iCs w:val="false"/>
          <w:color w:val="262626"/>
          <w:sz w:val="21"/>
          <w:szCs w:val="21"/>
        </w:rPr>
        <w:t xml:space="preserve">Customer requirements documents and captured API responses may contain personal data. The design consequences, which follow directly from the BRD section 11 constraints:</w:t>
      </w:r>
    </w:p>
    <w:p>
      <w:pPr>
        <w:pStyle w:val="ListParagraph"/>
        <w:numPr>
          <w:ilvl w:val="0"/>
          <w:numId w:val="2"/>
        </w:numPr>
        <w:spacing w:after="70" w:line="268"/>
      </w:pPr>
      <w:r>
        <w:rPr>
          <w:rFonts w:ascii="Calibri" w:cs="Calibri" w:eastAsia="Calibri" w:hAnsi="Calibri"/>
          <w:b w:val="false"/>
          <w:bCs w:val="false"/>
          <w:i w:val="false"/>
          <w:iCs w:val="false"/>
          <w:color w:val="262626"/>
          <w:sz w:val="21"/>
          <w:szCs w:val="21"/>
        </w:rPr>
        <w:t xml:space="preserve">Every category of customer data, its storage location, retention period and any third-party recipient is documented as a maintained artefact, not reconstructed per security questionnaire (SRS NFR-COM-01).</w:t>
      </w:r>
    </w:p>
    <w:p>
      <w:pPr>
        <w:pStyle w:val="ListParagraph"/>
        <w:numPr>
          <w:ilvl w:val="0"/>
          <w:numId w:val="2"/>
        </w:numPr>
        <w:spacing w:after="70" w:line="268"/>
      </w:pPr>
      <w:r>
        <w:rPr>
          <w:rFonts w:ascii="Calibri" w:cs="Calibri" w:eastAsia="Calibri" w:hAnsi="Calibri"/>
          <w:b w:val="false"/>
          <w:bCs w:val="false"/>
          <w:i w:val="false"/>
          <w:iCs w:val="false"/>
          <w:color w:val="262626"/>
          <w:sz w:val="21"/>
          <w:szCs w:val="21"/>
        </w:rPr>
        <w:t xml:space="preserve">The deployment supports a configuration in which no customer content is transmitted outside the customer’s infrastructure, achieved through the model provider abstraction pointed at a local endpoint (NFR-COM-02).</w:t>
      </w:r>
    </w:p>
    <w:p>
      <w:pPr>
        <w:pStyle w:val="ListParagraph"/>
        <w:numPr>
          <w:ilvl w:val="0"/>
          <w:numId w:val="2"/>
        </w:numPr>
        <w:spacing w:after="70" w:line="268"/>
      </w:pPr>
      <w:r>
        <w:rPr>
          <w:rFonts w:ascii="Calibri" w:cs="Calibri" w:eastAsia="Calibri" w:hAnsi="Calibri"/>
          <w:b w:val="false"/>
          <w:bCs w:val="false"/>
          <w:i w:val="false"/>
          <w:iCs w:val="false"/>
          <w:color w:val="262626"/>
          <w:sz w:val="21"/>
          <w:szCs w:val="21"/>
        </w:rPr>
        <w:t xml:space="preserve">Organisation-level data export and deletion are implemented capabilities, not manual database operations (NFR-COM-03).</w:t>
      </w:r>
    </w:p>
    <w:p>
      <w:pPr>
        <w:pStyle w:val="Heading1"/>
        <w:pageBreakBefore/>
        <w:spacing w:after="160" w:before="360"/>
      </w:pPr>
      <w:r>
        <w:rPr>
          <w:rFonts w:ascii="Calibri" w:cs="Calibri" w:eastAsia="Calibri" w:hAnsi="Calibri"/>
          <w:b/>
          <w:bCs/>
          <w:color w:val="1F4E79"/>
          <w:sz w:val="30"/>
          <w:szCs w:val="30"/>
        </w:rPr>
        <w:t xml:space="preserve">7. Internal and Public API Design</w:t>
      </w:r>
    </w:p>
    <w:p>
      <w:pPr>
        <w:pStyle w:val="Heading2"/>
        <w:spacing w:after="110" w:before="260"/>
      </w:pPr>
      <w:r>
        <w:rPr>
          <w:rFonts w:ascii="Calibri" w:cs="Calibri" w:eastAsia="Calibri" w:hAnsi="Calibri"/>
          <w:b/>
          <w:bCs/>
          <w:color w:val="2E75B6"/>
          <w:sz w:val="25"/>
          <w:szCs w:val="25"/>
        </w:rPr>
        <w:t xml:space="preserve">7.1 Conventions</w:t>
      </w:r>
    </w:p>
    <w:p>
      <w:pPr>
        <w:pStyle w:val="ListParagraph"/>
        <w:numPr>
          <w:ilvl w:val="0"/>
          <w:numId w:val="2"/>
        </w:numPr>
        <w:spacing w:after="70" w:line="268"/>
      </w:pPr>
      <w:r>
        <w:rPr>
          <w:rFonts w:ascii="Calibri" w:cs="Calibri" w:eastAsia="Calibri" w:hAnsi="Calibri"/>
          <w:b w:val="false"/>
          <w:bCs w:val="false"/>
          <w:i w:val="false"/>
          <w:iCs w:val="false"/>
          <w:color w:val="262626"/>
          <w:sz w:val="21"/>
          <w:szCs w:val="21"/>
        </w:rPr>
        <w:t xml:space="preserve">REST over JSON; resource-oriented paths; snake_case field names; ISO 8601 UTC timestamps; UUID identifiers.</w:t>
      </w:r>
    </w:p>
    <w:p>
      <w:pPr>
        <w:pStyle w:val="ListParagraph"/>
        <w:numPr>
          <w:ilvl w:val="0"/>
          <w:numId w:val="2"/>
        </w:numPr>
        <w:spacing w:after="70" w:line="268"/>
      </w:pPr>
      <w:r>
        <w:rPr>
          <w:rFonts w:ascii="Calibri" w:cs="Calibri" w:eastAsia="Calibri" w:hAnsi="Calibri"/>
          <w:b w:val="false"/>
          <w:bCs w:val="false"/>
          <w:i w:val="false"/>
          <w:iCs w:val="false"/>
          <w:color w:val="262626"/>
          <w:sz w:val="21"/>
          <w:szCs w:val="21"/>
        </w:rPr>
        <w:t xml:space="preserve">All list endpoints are cursor-paginated and filterable; no unbounded collection is ever returned.</w:t>
      </w:r>
    </w:p>
    <w:p>
      <w:pPr>
        <w:pStyle w:val="ListParagraph"/>
        <w:numPr>
          <w:ilvl w:val="0"/>
          <w:numId w:val="2"/>
        </w:numPr>
        <w:spacing w:after="70" w:line="268"/>
      </w:pPr>
      <w:r>
        <w:rPr>
          <w:rFonts w:ascii="Calibri" w:cs="Calibri" w:eastAsia="Calibri" w:hAnsi="Calibri"/>
          <w:b w:val="false"/>
          <w:bCs w:val="false"/>
          <w:i w:val="false"/>
          <w:iCs w:val="false"/>
          <w:color w:val="262626"/>
          <w:sz w:val="21"/>
          <w:szCs w:val="21"/>
        </w:rPr>
        <w:t xml:space="preserve">Long-running operations return 202 with a job identifier; progress is polled or streamed by server-sent events.</w:t>
      </w:r>
    </w:p>
    <w:p>
      <w:pPr>
        <w:pStyle w:val="ListParagraph"/>
        <w:numPr>
          <w:ilvl w:val="0"/>
          <w:numId w:val="2"/>
        </w:numPr>
        <w:spacing w:after="70" w:line="268"/>
      </w:pPr>
      <w:r>
        <w:rPr>
          <w:rFonts w:ascii="Calibri" w:cs="Calibri" w:eastAsia="Calibri" w:hAnsi="Calibri"/>
          <w:b w:val="false"/>
          <w:bCs w:val="false"/>
          <w:i w:val="false"/>
          <w:iCs w:val="false"/>
          <w:color w:val="262626"/>
          <w:sz w:val="21"/>
          <w:szCs w:val="21"/>
        </w:rPr>
        <w:t xml:space="preserve">Errors follow a single envelope: machine-readable code, human message, and field-level detail where applicable. Provider and stack detail are never exposed (SRS NFR-USE-04).</w:t>
      </w:r>
    </w:p>
    <w:p>
      <w:pPr>
        <w:pStyle w:val="ListParagraph"/>
        <w:numPr>
          <w:ilvl w:val="0"/>
          <w:numId w:val="2"/>
        </w:numPr>
        <w:spacing w:after="70" w:line="268"/>
      </w:pPr>
      <w:r>
        <w:rPr>
          <w:rFonts w:ascii="Calibri" w:cs="Calibri" w:eastAsia="Calibri" w:hAnsi="Calibri"/>
          <w:b w:val="false"/>
          <w:bCs w:val="false"/>
          <w:i w:val="false"/>
          <w:iCs w:val="false"/>
          <w:color w:val="262626"/>
          <w:sz w:val="21"/>
          <w:szCs w:val="21"/>
        </w:rPr>
        <w:t xml:space="preserve">The public subset is versioned under /v1 and authenticated by organisation-scoped API keys, distinct from user sessions.</w:t>
      </w:r>
    </w:p>
    <w:p>
      <w:pPr>
        <w:pStyle w:val="Heading2"/>
        <w:spacing w:after="110" w:before="260"/>
      </w:pPr>
      <w:r>
        <w:rPr>
          <w:rFonts w:ascii="Calibri" w:cs="Calibri" w:eastAsia="Calibri" w:hAnsi="Calibri"/>
          <w:b/>
          <w:bCs/>
          <w:color w:val="2E75B6"/>
          <w:sz w:val="25"/>
          <w:szCs w:val="25"/>
        </w:rPr>
        <w:t xml:space="preserve">7.2 Principal endpoints</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1471"/>
        <w:gridCol w:w="4011"/>
        <w:gridCol w:w="3878"/>
      </w:tblGrid>
      <w:tr>
        <w:trPr>
          <w:tblHeader/>
        </w:trPr>
        <w:tc>
          <w:tcPr>
            <w:tcW w:type="dxa" w:w="1471"/>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Method</w:t>
            </w:r>
          </w:p>
        </w:tc>
        <w:tc>
          <w:tcPr>
            <w:tcW w:type="dxa" w:w="4011"/>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Path</w:t>
            </w:r>
          </w:p>
        </w:tc>
        <w:tc>
          <w:tcPr>
            <w:tcW w:type="dxa" w:w="3878"/>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Purpose</w:t>
            </w:r>
          </w:p>
        </w:tc>
      </w:tr>
      <w:tr>
        <w:tc>
          <w:tcPr>
            <w:tcW w:type="dxa" w:w="147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POST</w:t>
            </w:r>
          </w:p>
        </w:tc>
        <w:tc>
          <w:tcPr>
            <w:tcW w:type="dxa" w:w="401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/v1/projects</w:t>
            </w:r>
          </w:p>
        </w:tc>
        <w:tc>
          <w:tcPr>
            <w:tcW w:type="dxa" w:w="387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Create a project.</w:t>
            </w:r>
          </w:p>
        </w:tc>
      </w:tr>
      <w:tr>
        <w:tc>
          <w:tcPr>
            <w:tcW w:type="dxa" w:w="147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POST</w:t>
            </w:r>
          </w:p>
        </w:tc>
        <w:tc>
          <w:tcPr>
            <w:tcW w:type="dxa" w:w="401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/v1/projects/{id}/environments</w:t>
            </w:r>
          </w:p>
        </w:tc>
        <w:tc>
          <w:tcPr>
            <w:tcW w:type="dxa" w:w="387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Configure an environment and its authentication.</w:t>
            </w:r>
          </w:p>
        </w:tc>
      </w:tr>
      <w:tr>
        <w:tc>
          <w:tcPr>
            <w:tcW w:type="dxa" w:w="147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POST</w:t>
            </w:r>
          </w:p>
        </w:tc>
        <w:tc>
          <w:tcPr>
            <w:tcW w:type="dxa" w:w="401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/v1/projects/{id}/environments/{eid}/check</w:t>
            </w:r>
          </w:p>
        </w:tc>
        <w:tc>
          <w:tcPr>
            <w:tcW w:type="dxa" w:w="387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Connectivity and authentication check (FR-PRJ-06).</w:t>
            </w:r>
          </w:p>
        </w:tc>
      </w:tr>
      <w:tr>
        <w:tc>
          <w:tcPr>
            <w:tcW w:type="dxa" w:w="147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POST</w:t>
            </w:r>
          </w:p>
        </w:tc>
        <w:tc>
          <w:tcPr>
            <w:tcW w:type="dxa" w:w="401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/v1/projects/{id}/documents</w:t>
            </w:r>
          </w:p>
        </w:tc>
        <w:tc>
          <w:tcPr>
            <w:tcW w:type="dxa" w:w="387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Upload a requirements document; returns a parse job.</w:t>
            </w:r>
          </w:p>
        </w:tc>
      </w:tr>
      <w:tr>
        <w:tc>
          <w:tcPr>
            <w:tcW w:type="dxa" w:w="147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GET</w:t>
            </w:r>
          </w:p>
        </w:tc>
        <w:tc>
          <w:tcPr>
            <w:tcW w:type="dxa" w:w="401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/v1/projects/{id}/requirements</w:t>
            </w:r>
          </w:p>
        </w:tc>
        <w:tc>
          <w:tcPr>
            <w:tcW w:type="dxa" w:w="387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List requirements, filterable by state, type and priority.</w:t>
            </w:r>
          </w:p>
        </w:tc>
      </w:tr>
      <w:tr>
        <w:tc>
          <w:tcPr>
            <w:tcW w:type="dxa" w:w="147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PATCH</w:t>
            </w:r>
          </w:p>
        </w:tc>
        <w:tc>
          <w:tcPr>
            <w:tcW w:type="dxa" w:w="401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/v1/requirements/{id}</w:t>
            </w:r>
          </w:p>
        </w:tc>
        <w:tc>
          <w:tcPr>
            <w:tcW w:type="dxa" w:w="387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Edit or confirm a requirement.</w:t>
            </w:r>
          </w:p>
        </w:tc>
      </w:tr>
      <w:tr>
        <w:tc>
          <w:tcPr>
            <w:tcW w:type="dxa" w:w="147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POST</w:t>
            </w:r>
          </w:p>
        </w:tc>
        <w:tc>
          <w:tcPr>
            <w:tcW w:type="dxa" w:w="401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/v1/projects/{id}/api-specs</w:t>
            </w:r>
          </w:p>
        </w:tc>
        <w:tc>
          <w:tcPr>
            <w:tcW w:type="dxa" w:w="387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Import an OpenAPI or Swagger specification by file or URL.</w:t>
            </w:r>
          </w:p>
        </w:tc>
      </w:tr>
      <w:tr>
        <w:tc>
          <w:tcPr>
            <w:tcW w:type="dxa" w:w="147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GET</w:t>
            </w:r>
          </w:p>
        </w:tc>
        <w:tc>
          <w:tcPr>
            <w:tcW w:type="dxa" w:w="401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/v1/projects/{id}/endpoints</w:t>
            </w:r>
          </w:p>
        </w:tc>
        <w:tc>
          <w:tcPr>
            <w:tcW w:type="dxa" w:w="387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Retrieve the endpoint inventory.</w:t>
            </w:r>
          </w:p>
        </w:tc>
      </w:tr>
      <w:tr>
        <w:tc>
          <w:tcPr>
            <w:tcW w:type="dxa" w:w="147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POST</w:t>
            </w:r>
          </w:p>
        </w:tc>
        <w:tc>
          <w:tcPr>
            <w:tcW w:type="dxa" w:w="401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/v1/projects/{id}/generate</w:t>
            </w:r>
          </w:p>
        </w:tc>
        <w:tc>
          <w:tcPr>
            <w:tcW w:type="dxa" w:w="387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Trigger generation for selected requirements; returns a job.</w:t>
            </w:r>
          </w:p>
        </w:tc>
      </w:tr>
      <w:tr>
        <w:tc>
          <w:tcPr>
            <w:tcW w:type="dxa" w:w="147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GET</w:t>
            </w:r>
          </w:p>
        </w:tc>
        <w:tc>
          <w:tcPr>
            <w:tcW w:type="dxa" w:w="401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/v1/projects/{id}/test-cases</w:t>
            </w:r>
          </w:p>
        </w:tc>
        <w:tc>
          <w:tcPr>
            <w:tcW w:type="dxa" w:w="387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List test cases, filterable by state and linked requirement.</w:t>
            </w:r>
          </w:p>
        </w:tc>
      </w:tr>
      <w:tr>
        <w:tc>
          <w:tcPr>
            <w:tcW w:type="dxa" w:w="147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POST</w:t>
            </w:r>
          </w:p>
        </w:tc>
        <w:tc>
          <w:tcPr>
            <w:tcW w:type="dxa" w:w="401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/v1/test-cases/{id}/approve</w:t>
            </w:r>
          </w:p>
        </w:tc>
        <w:tc>
          <w:tcPr>
            <w:tcW w:type="dxa" w:w="387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Approve a test case, recording approver and timestamp.</w:t>
            </w:r>
          </w:p>
        </w:tc>
      </w:tr>
      <w:tr>
        <w:tc>
          <w:tcPr>
            <w:tcW w:type="dxa" w:w="147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POST</w:t>
            </w:r>
          </w:p>
        </w:tc>
        <w:tc>
          <w:tcPr>
            <w:tcW w:type="dxa" w:w="401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/v1/test-cases/{id}/reject</w:t>
            </w:r>
          </w:p>
        </w:tc>
        <w:tc>
          <w:tcPr>
            <w:tcW w:type="dxa" w:w="387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Reject with a reason code.</w:t>
            </w:r>
          </w:p>
        </w:tc>
      </w:tr>
      <w:tr>
        <w:tc>
          <w:tcPr>
            <w:tcW w:type="dxa" w:w="147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POST</w:t>
            </w:r>
          </w:p>
        </w:tc>
        <w:tc>
          <w:tcPr>
            <w:tcW w:type="dxa" w:w="401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/v1/projects/{id}/runs</w:t>
            </w:r>
          </w:p>
        </w:tc>
        <w:tc>
          <w:tcPr>
            <w:tcW w:type="dxa" w:w="387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Start a run against an environment; returns a run identifier.</w:t>
            </w:r>
          </w:p>
        </w:tc>
      </w:tr>
      <w:tr>
        <w:tc>
          <w:tcPr>
            <w:tcW w:type="dxa" w:w="147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GET</w:t>
            </w:r>
          </w:p>
        </w:tc>
        <w:tc>
          <w:tcPr>
            <w:tcW w:type="dxa" w:w="401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/v1/runs/{id}</w:t>
            </w:r>
          </w:p>
        </w:tc>
        <w:tc>
          <w:tcPr>
            <w:tcW w:type="dxa" w:w="387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Run status and summary counts.</w:t>
            </w:r>
          </w:p>
        </w:tc>
      </w:tr>
      <w:tr>
        <w:tc>
          <w:tcPr>
            <w:tcW w:type="dxa" w:w="147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GET</w:t>
            </w:r>
          </w:p>
        </w:tc>
        <w:tc>
          <w:tcPr>
            <w:tcW w:type="dxa" w:w="401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/v1/runs/{id}/results</w:t>
            </w:r>
          </w:p>
        </w:tc>
        <w:tc>
          <w:tcPr>
            <w:tcW w:type="dxa" w:w="387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Per-case results with evidence.</w:t>
            </w:r>
          </w:p>
        </w:tc>
      </w:tr>
      <w:tr>
        <w:tc>
          <w:tcPr>
            <w:tcW w:type="dxa" w:w="147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GET</w:t>
            </w:r>
          </w:p>
        </w:tc>
        <w:tc>
          <w:tcPr>
            <w:tcW w:type="dxa" w:w="401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/v1/projects/{id}/traceability</w:t>
            </w:r>
          </w:p>
        </w:tc>
        <w:tc>
          <w:tcPr>
            <w:tcW w:type="dxa" w:w="3878"/>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The matrix, with coverage summary and gap list.</w:t>
            </w:r>
          </w:p>
        </w:tc>
      </w:tr>
      <w:tr>
        <w:tc>
          <w:tcPr>
            <w:tcW w:type="dxa" w:w="147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GET</w:t>
            </w:r>
          </w:p>
        </w:tc>
        <w:tc>
          <w:tcPr>
            <w:tcW w:type="dxa" w:w="401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/v1/projects/{id}/exports/{format}</w:t>
            </w:r>
          </w:p>
        </w:tc>
        <w:tc>
          <w:tcPr>
            <w:tcW w:type="dxa" w:w="3878"/>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Excel or PDF export of matrix and results.</w:t>
            </w:r>
          </w:p>
        </w:tc>
      </w:tr>
    </w:tbl>
    <w:p>
      <w:pPr>
        <w:spacing w:after="120" w:line="276"/>
      </w:pPr>
      <w:r>
        <w:rPr>
          <w:rFonts w:ascii="Calibri" w:cs="Calibri" w:eastAsia="Calibri" w:hAnsi="Calibri"/>
          <w:b w:val="false"/>
          <w:bCs w:val="false"/>
          <w:i/>
          <w:iCs/>
          <w:color w:val="262626"/>
          <w:sz w:val="21"/>
          <w:szCs w:val="21"/>
        </w:rPr>
        <w:t xml:space="preserve">The run-initiation and result-retrieval endpoints are deliberately part of the public surface in the MVP: they are the integration points a CI/CD plugin will use in v2, and designing them now avoids a redesign then.</w:t>
      </w:r>
    </w:p>
    <w:p>
      <w:pPr>
        <w:pStyle w:val="Heading1"/>
        <w:pageBreakBefore/>
        <w:spacing w:after="160" w:before="360"/>
      </w:pPr>
      <w:r>
        <w:rPr>
          <w:rFonts w:ascii="Calibri" w:cs="Calibri" w:eastAsia="Calibri" w:hAnsi="Calibri"/>
          <w:b/>
          <w:bCs/>
          <w:color w:val="1F4E79"/>
          <w:sz w:val="30"/>
          <w:szCs w:val="30"/>
        </w:rPr>
        <w:t xml:space="preserve">8. Concurrency, Jobs and Resource Model</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2273"/>
        <w:gridCol w:w="2006"/>
        <w:gridCol w:w="5081"/>
      </w:tblGrid>
      <w:tr>
        <w:trPr>
          <w:tblHeader/>
        </w:trPr>
        <w:tc>
          <w:tcPr>
            <w:tcW w:type="dxa" w:w="2273"/>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Job type</w:t>
            </w:r>
          </w:p>
        </w:tc>
        <w:tc>
          <w:tcPr>
            <w:tcW w:type="dxa" w:w="2006"/>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Queue</w:t>
            </w:r>
          </w:p>
        </w:tc>
        <w:tc>
          <w:tcPr>
            <w:tcW w:type="dxa" w:w="5081"/>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Characteristics and limits</w:t>
            </w:r>
          </w:p>
        </w:tc>
      </w:tr>
      <w:tr>
        <w:tc>
          <w:tcPr>
            <w:tcW w:type="dxa" w:w="2273"/>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Document parsing</w:t>
            </w:r>
          </w:p>
        </w:tc>
        <w:tc>
          <w:tcPr>
            <w:tcW w:type="dxa" w:w="2006"/>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ingest</w:t>
            </w:r>
          </w:p>
        </w:tc>
        <w:tc>
          <w:tcPr>
            <w:tcW w:type="dxa" w:w="508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CPU and model bound. One job per document. Timeout aligned to NFR-PERF-02. Retries once on transient model failure.</w:t>
            </w:r>
          </w:p>
        </w:tc>
      </w:tr>
      <w:tr>
        <w:tc>
          <w:tcPr>
            <w:tcW w:type="dxa" w:w="2273"/>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Test generation</w:t>
            </w:r>
          </w:p>
        </w:tc>
        <w:tc>
          <w:tcPr>
            <w:tcW w:type="dxa" w:w="2006"/>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generate</w:t>
            </w:r>
          </w:p>
        </w:tc>
        <w:tc>
          <w:tcPr>
            <w:tcW w:type="dxa" w:w="508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Model bound. Batched per requirement group to bound prompt size and to allow partial results. Concurrency capped per organisation to control cost.</w:t>
            </w:r>
          </w:p>
        </w:tc>
      </w:tr>
      <w:tr>
        <w:tc>
          <w:tcPr>
            <w:tcW w:type="dxa" w:w="2273"/>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Test execution</w:t>
            </w:r>
          </w:p>
        </w:tc>
        <w:tc>
          <w:tcPr>
            <w:tcW w:type="dxa" w:w="2006"/>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execute</w:t>
            </w:r>
          </w:p>
        </w:tc>
        <w:tc>
          <w:tcPr>
            <w:tcW w:type="dxa" w:w="508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Network bound. Fan-out per test case with a per-environment concurrency limit, so the platform cannot inadvertently load-test a customer’s staging environment.</w:t>
            </w:r>
          </w:p>
        </w:tc>
      </w:tr>
      <w:tr>
        <w:tc>
          <w:tcPr>
            <w:tcW w:type="dxa" w:w="2273"/>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Export generation</w:t>
            </w:r>
          </w:p>
        </w:tc>
        <w:tc>
          <w:tcPr>
            <w:tcW w:type="dxa" w:w="2006"/>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report</w:t>
            </w:r>
          </w:p>
        </w:tc>
        <w:tc>
          <w:tcPr>
            <w:tcW w:type="dxa" w:w="508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CPU bound, short-lived, low priority.</w:t>
            </w:r>
          </w:p>
        </w:tc>
      </w:tr>
    </w:tbl>
    <w:p>
      <w:pPr>
        <w:pStyle w:val="ListParagraph"/>
        <w:numPr>
          <w:ilvl w:val="0"/>
          <w:numId w:val="2"/>
        </w:numPr>
        <w:spacing w:after="70" w:line="268"/>
      </w:pPr>
      <w:r>
        <w:rPr>
          <w:rFonts w:ascii="Calibri" w:cs="Calibri" w:eastAsia="Calibri" w:hAnsi="Calibri"/>
          <w:b w:val="false"/>
          <w:bCs w:val="false"/>
          <w:i w:val="false"/>
          <w:iCs w:val="false"/>
          <w:color w:val="262626"/>
          <w:sz w:val="21"/>
          <w:szCs w:val="21"/>
        </w:rPr>
        <w:t xml:space="preserve">Workers are stateless and horizontally scalable; the web tier scales independently (SRS NFR-SCA-02).</w:t>
      </w:r>
    </w:p>
    <w:p>
      <w:pPr>
        <w:pStyle w:val="ListParagraph"/>
        <w:numPr>
          <w:ilvl w:val="0"/>
          <w:numId w:val="2"/>
        </w:numPr>
        <w:spacing w:after="70" w:line="268"/>
      </w:pPr>
      <w:r>
        <w:rPr>
          <w:rFonts w:ascii="Calibri" w:cs="Calibri" w:eastAsia="Calibri" w:hAnsi="Calibri"/>
          <w:b w:val="false"/>
          <w:bCs w:val="false"/>
          <w:i w:val="false"/>
          <w:iCs w:val="false"/>
          <w:color w:val="262626"/>
          <w:sz w:val="21"/>
          <w:szCs w:val="21"/>
        </w:rPr>
        <w:t xml:space="preserve">Every job carries a correlation identifier propagated to logs, traces and metrics (NFR-MNT-01).</w:t>
      </w:r>
    </w:p>
    <w:p>
      <w:pPr>
        <w:pStyle w:val="ListParagraph"/>
        <w:numPr>
          <w:ilvl w:val="0"/>
          <w:numId w:val="2"/>
        </w:numPr>
        <w:spacing w:after="70" w:line="268"/>
      </w:pPr>
      <w:r>
        <w:rPr>
          <w:rFonts w:ascii="Calibri" w:cs="Calibri" w:eastAsia="Calibri" w:hAnsi="Calibri"/>
          <w:b w:val="false"/>
          <w:bCs w:val="false"/>
          <w:i w:val="false"/>
          <w:iCs w:val="false"/>
          <w:color w:val="262626"/>
          <w:sz w:val="21"/>
          <w:szCs w:val="21"/>
        </w:rPr>
        <w:t xml:space="preserve">Job payloads reference database rows rather than embedding content, so a queue is never a store of customer data.</w:t>
      </w:r>
    </w:p>
    <w:p>
      <w:pPr>
        <w:pStyle w:val="Heading1"/>
        <w:pageBreakBefore/>
        <w:spacing w:after="160" w:before="360"/>
      </w:pPr>
      <w:r>
        <w:rPr>
          <w:rFonts w:ascii="Calibri" w:cs="Calibri" w:eastAsia="Calibri" w:hAnsi="Calibri"/>
          <w:b/>
          <w:bCs/>
          <w:color w:val="1F4E79"/>
          <w:sz w:val="30"/>
          <w:szCs w:val="30"/>
        </w:rPr>
        <w:t xml:space="preserve">9. Observability</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2407"/>
        <w:gridCol w:w="6953"/>
      </w:tblGrid>
      <w:tr>
        <w:trPr>
          <w:tblHeader/>
        </w:trPr>
        <w:tc>
          <w:tcPr>
            <w:tcW w:type="dxa" w:w="2407"/>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Signal</w:t>
            </w:r>
          </w:p>
        </w:tc>
        <w:tc>
          <w:tcPr>
            <w:tcW w:type="dxa" w:w="6953"/>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What is captured</w:t>
            </w:r>
          </w:p>
        </w:tc>
      </w:tr>
      <w:tr>
        <w:tc>
          <w:tcPr>
            <w:tcW w:type="dxa" w:w="240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Logs</w:t>
            </w:r>
          </w:p>
        </w:tc>
        <w:tc>
          <w:tcPr>
            <w:tcW w:type="dxa" w:w="6953"/>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Structured JSON with correlation identifier, organisation, project, actor and job identifiers. Secret-pattern filtering applied at the formatter.</w:t>
            </w:r>
          </w:p>
        </w:tc>
      </w:tr>
      <w:tr>
        <w:tc>
          <w:tcPr>
            <w:tcW w:type="dxa" w:w="240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Traces</w:t>
            </w:r>
          </w:p>
        </w:tc>
        <w:tc>
          <w:tcPr>
            <w:tcW w:type="dxa" w:w="6953"/>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OpenTelemetry spans across request, job and outbound call, including model calls and system-under-test calls.</w:t>
            </w:r>
          </w:p>
        </w:tc>
      </w:tr>
      <w:tr>
        <w:tc>
          <w:tcPr>
            <w:tcW w:type="dxa" w:w="240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Product metrics</w:t>
            </w:r>
          </w:p>
        </w:tc>
        <w:tc>
          <w:tcPr>
            <w:tcW w:type="dxa" w:w="6953"/>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Documents parsed, requirements extracted, cases generated, cases discarded by the grounding validator, approval and rejection rates, runs executed, coverage percentage distribution.</w:t>
            </w:r>
          </w:p>
        </w:tc>
      </w:tr>
      <w:tr>
        <w:tc>
          <w:tcPr>
            <w:tcW w:type="dxa" w:w="240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Quality metrics</w:t>
            </w:r>
          </w:p>
        </w:tc>
        <w:tc>
          <w:tcPr>
            <w:tcW w:type="dxa" w:w="6953"/>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Grounding discard rate by prompt version; reviewer approval rate by prompt version. These two together are how generation quality regressions are detected before a customer finds them.</w:t>
            </w:r>
          </w:p>
        </w:tc>
      </w:tr>
      <w:tr>
        <w:tc>
          <w:tcPr>
            <w:tcW w:type="dxa" w:w="240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Cost metrics</w:t>
            </w:r>
          </w:p>
        </w:tc>
        <w:tc>
          <w:tcPr>
            <w:tcW w:type="dxa" w:w="6953"/>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Model tokens and spend per organisation, project and operation, against plan limits (BRD R-07).</w:t>
            </w:r>
          </w:p>
        </w:tc>
      </w:tr>
      <w:tr>
        <w:tc>
          <w:tcPr>
            <w:tcW w:type="dxa" w:w="240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System metrics</w:t>
            </w:r>
          </w:p>
        </w:tc>
        <w:tc>
          <w:tcPr>
            <w:tcW w:type="dxa" w:w="6953"/>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Queue depth and job latency per queue, database connection saturation, error rate by endpoint.</w:t>
            </w:r>
          </w:p>
        </w:tc>
      </w:tr>
    </w:tbl>
    <w:p>
      <w:pPr>
        <w:spacing w:after="120" w:line="276"/>
      </w:pPr>
      <w:r>
        <w:rPr>
          <w:rFonts w:ascii="Calibri" w:cs="Calibri" w:eastAsia="Calibri" w:hAnsi="Calibri"/>
          <w:b w:val="false"/>
          <w:bCs w:val="false"/>
          <w:i/>
          <w:iCs/>
          <w:color w:val="262626"/>
          <w:sz w:val="21"/>
          <w:szCs w:val="21"/>
        </w:rPr>
        <w:t xml:space="preserve">Two alerts matter more than the rest at MVP scale: a rise in the grounding discard rate, which indicates the generator has drifted, and a fall in the reviewer approval rate, which indicates output quality has degraded in a way no automated check catches.</w:t>
      </w:r>
    </w:p>
    <w:p>
      <w:pPr>
        <w:pStyle w:val="Heading1"/>
        <w:pageBreakBefore/>
        <w:spacing w:after="160" w:before="360"/>
      </w:pPr>
      <w:r>
        <w:rPr>
          <w:rFonts w:ascii="Calibri" w:cs="Calibri" w:eastAsia="Calibri" w:hAnsi="Calibri"/>
          <w:b/>
          <w:bCs/>
          <w:color w:val="1F4E79"/>
          <w:sz w:val="30"/>
          <w:szCs w:val="30"/>
        </w:rPr>
        <w:t xml:space="preserve">10. Deployment and Environments</w:t>
      </w:r>
    </w:p>
    <w:p>
      <w:pPr>
        <w:pStyle w:val="Heading2"/>
        <w:spacing w:after="110" w:before="260"/>
      </w:pPr>
      <w:r>
        <w:rPr>
          <w:rFonts w:ascii="Calibri" w:cs="Calibri" w:eastAsia="Calibri" w:hAnsi="Calibri"/>
          <w:b/>
          <w:bCs/>
          <w:color w:val="2E75B6"/>
          <w:sz w:val="25"/>
          <w:szCs w:val="25"/>
        </w:rPr>
        <w:t xml:space="preserve">10.1 Environments</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1872"/>
        <w:gridCol w:w="2674"/>
        <w:gridCol w:w="4814"/>
      </w:tblGrid>
      <w:tr>
        <w:trPr>
          <w:tblHeader/>
        </w:trPr>
        <w:tc>
          <w:tcPr>
            <w:tcW w:type="dxa" w:w="1872"/>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Environment</w:t>
            </w:r>
          </w:p>
        </w:tc>
        <w:tc>
          <w:tcPr>
            <w:tcW w:type="dxa" w:w="2674"/>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Purpose</w:t>
            </w:r>
          </w:p>
        </w:tc>
        <w:tc>
          <w:tcPr>
            <w:tcW w:type="dxa" w:w="4814"/>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Notes</w:t>
            </w:r>
          </w:p>
        </w:tc>
      </w:tr>
      <w:tr>
        <w:tc>
          <w:tcPr>
            <w:tcW w:type="dxa" w:w="1872"/>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Local</w:t>
            </w:r>
          </w:p>
        </w:tc>
        <w:tc>
          <w:tcPr>
            <w:tcW w:type="dxa" w:w="267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Development</w:t>
            </w:r>
          </w:p>
        </w:tc>
        <w:tc>
          <w:tcPr>
            <w:tcW w:type="dxa" w:w="481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Docker Compose with PostgreSQL, Redis, MinIO and a mock model provider so the pipeline can be exercised without model cost.</w:t>
            </w:r>
          </w:p>
        </w:tc>
      </w:tr>
      <w:tr>
        <w:tc>
          <w:tcPr>
            <w:tcW w:type="dxa" w:w="187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Staging</w:t>
            </w:r>
          </w:p>
        </w:tc>
        <w:tc>
          <w:tcPr>
            <w:tcW w:type="dxa" w:w="267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Pre-release verification</w:t>
            </w:r>
          </w:p>
        </w:tc>
        <w:tc>
          <w:tcPr>
            <w:tcW w:type="dxa" w:w="481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Mirrors production configuration; seeded with anonymised sample documents and a reference API for end-to-end tests.</w:t>
            </w:r>
          </w:p>
        </w:tc>
      </w:tr>
      <w:tr>
        <w:tc>
          <w:tcPr>
            <w:tcW w:type="dxa" w:w="1872"/>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Production (hosted)</w:t>
            </w:r>
          </w:p>
        </w:tc>
        <w:tc>
          <w:tcPr>
            <w:tcW w:type="dxa" w:w="267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Pilot and paying customers</w:t>
            </w:r>
          </w:p>
        </w:tc>
        <w:tc>
          <w:tcPr>
            <w:tcW w:type="dxa" w:w="481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Container orchestration, managed PostgreSQL with point-in-time recovery, object storage, secret management.</w:t>
            </w:r>
          </w:p>
        </w:tc>
      </w:tr>
      <w:tr>
        <w:tc>
          <w:tcPr>
            <w:tcW w:type="dxa" w:w="187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Customer on-premise</w:t>
            </w:r>
          </w:p>
        </w:tc>
        <w:tc>
          <w:tcPr>
            <w:tcW w:type="dxa" w:w="267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v3 offering; architecturally supported now</w:t>
            </w:r>
          </w:p>
        </w:tc>
        <w:tc>
          <w:tcPr>
            <w:tcW w:type="dxa" w:w="481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Single Compose or Helm deployment with MinIO, self-hosted model endpoint, no outbound dependency (SRS NFR-POR-01 to 04).</w:t>
            </w:r>
          </w:p>
        </w:tc>
      </w:tr>
    </w:tbl>
    <w:p>
      <w:pPr>
        <w:pStyle w:val="Heading2"/>
        <w:spacing w:after="110" w:before="260"/>
      </w:pPr>
      <w:r>
        <w:rPr>
          <w:rFonts w:ascii="Calibri" w:cs="Calibri" w:eastAsia="Calibri" w:hAnsi="Calibri"/>
          <w:b/>
          <w:bCs/>
          <w:color w:val="2E75B6"/>
          <w:sz w:val="25"/>
          <w:szCs w:val="25"/>
        </w:rPr>
        <w:t xml:space="preserve">10.2 Delivery pipeline</w:t>
      </w:r>
    </w:p>
    <w:p>
      <w:pPr>
        <w:pStyle w:val="ListParagraph"/>
        <w:numPr>
          <w:ilvl w:val="0"/>
          <w:numId w:val="3"/>
        </w:numPr>
        <w:spacing w:after="70" w:line="268"/>
      </w:pPr>
      <w:r>
        <w:rPr>
          <w:rFonts w:ascii="Calibri" w:cs="Calibri" w:eastAsia="Calibri" w:hAnsi="Calibri"/>
          <w:b w:val="false"/>
          <w:bCs w:val="false"/>
          <w:i w:val="false"/>
          <w:iCs w:val="false"/>
          <w:color w:val="262626"/>
          <w:sz w:val="21"/>
          <w:szCs w:val="21"/>
        </w:rPr>
        <w:t xml:space="preserve">Commit triggers lint, type check, unit tests and the module-dependency rule check.</w:t>
      </w:r>
    </w:p>
    <w:p>
      <w:pPr>
        <w:pStyle w:val="ListParagraph"/>
        <w:numPr>
          <w:ilvl w:val="0"/>
          <w:numId w:val="3"/>
        </w:numPr>
        <w:spacing w:after="70" w:line="268"/>
      </w:pPr>
      <w:r>
        <w:rPr>
          <w:rFonts w:ascii="Calibri" w:cs="Calibri" w:eastAsia="Calibri" w:hAnsi="Calibri"/>
          <w:b w:val="false"/>
          <w:bCs w:val="false"/>
          <w:i w:val="false"/>
          <w:iCs w:val="false"/>
          <w:color w:val="262626"/>
          <w:sz w:val="21"/>
          <w:szCs w:val="21"/>
        </w:rPr>
        <w:t xml:space="preserve">Integration tests run against ephemeral PostgreSQL and Redis containers.</w:t>
      </w:r>
    </w:p>
    <w:p>
      <w:pPr>
        <w:pStyle w:val="ListParagraph"/>
        <w:numPr>
          <w:ilvl w:val="0"/>
          <w:numId w:val="3"/>
        </w:numPr>
        <w:spacing w:after="70" w:line="268"/>
      </w:pPr>
      <w:r>
        <w:rPr>
          <w:rFonts w:ascii="Calibri" w:cs="Calibri" w:eastAsia="Calibri" w:hAnsi="Calibri"/>
          <w:b w:val="false"/>
          <w:bCs w:val="false"/>
          <w:i w:val="false"/>
          <w:iCs w:val="false"/>
          <w:color w:val="262626"/>
          <w:sz w:val="21"/>
          <w:szCs w:val="21"/>
        </w:rPr>
        <w:t xml:space="preserve">Two gate suites must pass: grounding validation (section 4.5) and tenant isolation (section 6.1). Failure blocks the build.</w:t>
      </w:r>
    </w:p>
    <w:p>
      <w:pPr>
        <w:pStyle w:val="ListParagraph"/>
        <w:numPr>
          <w:ilvl w:val="0"/>
          <w:numId w:val="3"/>
        </w:numPr>
        <w:spacing w:after="70" w:line="268"/>
      </w:pPr>
      <w:r>
        <w:rPr>
          <w:rFonts w:ascii="Calibri" w:cs="Calibri" w:eastAsia="Calibri" w:hAnsi="Calibri"/>
          <w:b w:val="false"/>
          <w:bCs w:val="false"/>
          <w:i w:val="false"/>
          <w:iCs w:val="false"/>
          <w:color w:val="262626"/>
          <w:sz w:val="21"/>
          <w:szCs w:val="21"/>
        </w:rPr>
        <w:t xml:space="preserve">Container images built, scanned, and tagged by commit.</w:t>
      </w:r>
    </w:p>
    <w:p>
      <w:pPr>
        <w:pStyle w:val="ListParagraph"/>
        <w:numPr>
          <w:ilvl w:val="0"/>
          <w:numId w:val="3"/>
        </w:numPr>
        <w:spacing w:after="70" w:line="268"/>
      </w:pPr>
      <w:r>
        <w:rPr>
          <w:rFonts w:ascii="Calibri" w:cs="Calibri" w:eastAsia="Calibri" w:hAnsi="Calibri"/>
          <w:b w:val="false"/>
          <w:bCs w:val="false"/>
          <w:i w:val="false"/>
          <w:iCs w:val="false"/>
          <w:color w:val="262626"/>
          <w:sz w:val="21"/>
          <w:szCs w:val="21"/>
        </w:rPr>
        <w:t xml:space="preserve">Automatic deployment to staging; end-to-end suite executed against a reference API.</w:t>
      </w:r>
    </w:p>
    <w:p>
      <w:pPr>
        <w:pStyle w:val="ListParagraph"/>
        <w:numPr>
          <w:ilvl w:val="0"/>
          <w:numId w:val="3"/>
        </w:numPr>
        <w:spacing w:after="70" w:line="268"/>
      </w:pPr>
      <w:r>
        <w:rPr>
          <w:rFonts w:ascii="Calibri" w:cs="Calibri" w:eastAsia="Calibri" w:hAnsi="Calibri"/>
          <w:b w:val="false"/>
          <w:bCs w:val="false"/>
          <w:i w:val="false"/>
          <w:iCs w:val="false"/>
          <w:color w:val="262626"/>
          <w:sz w:val="21"/>
          <w:szCs w:val="21"/>
        </w:rPr>
        <w:t xml:space="preserve">Manual promotion to production; database migrations applied forward-only, and must be backward compatible with the previous release to permit rollback.</w:t>
      </w:r>
    </w:p>
    <w:p>
      <w:pPr>
        <w:pStyle w:val="Heading2"/>
        <w:spacing w:after="110" w:before="260"/>
      </w:pPr>
      <w:r>
        <w:rPr>
          <w:rFonts w:ascii="Calibri" w:cs="Calibri" w:eastAsia="Calibri" w:hAnsi="Calibri"/>
          <w:b/>
          <w:bCs/>
          <w:color w:val="2E75B6"/>
          <w:sz w:val="25"/>
          <w:szCs w:val="25"/>
        </w:rPr>
        <w:t xml:space="preserve">10.3 Backup and recovery</w:t>
      </w:r>
    </w:p>
    <w:p>
      <w:pPr>
        <w:pStyle w:val="ListParagraph"/>
        <w:numPr>
          <w:ilvl w:val="0"/>
          <w:numId w:val="2"/>
        </w:numPr>
        <w:spacing w:after="70" w:line="268"/>
      </w:pPr>
      <w:r>
        <w:rPr>
          <w:rFonts w:ascii="Calibri" w:cs="Calibri" w:eastAsia="Calibri" w:hAnsi="Calibri"/>
          <w:b w:val="false"/>
          <w:bCs w:val="false"/>
          <w:i w:val="false"/>
          <w:iCs w:val="false"/>
          <w:color w:val="262626"/>
          <w:sz w:val="21"/>
          <w:szCs w:val="21"/>
        </w:rPr>
        <w:t xml:space="preserve">Database point-in-time recovery to within 24 hours (SRS NFR-REL-07); restore tested at least once during the pilot rather than assumed.</w:t>
      </w:r>
    </w:p>
    <w:p>
      <w:pPr>
        <w:pStyle w:val="ListParagraph"/>
        <w:numPr>
          <w:ilvl w:val="0"/>
          <w:numId w:val="2"/>
        </w:numPr>
        <w:spacing w:after="70" w:line="268"/>
      </w:pPr>
      <w:r>
        <w:rPr>
          <w:rFonts w:ascii="Calibri" w:cs="Calibri" w:eastAsia="Calibri" w:hAnsi="Calibri"/>
          <w:b w:val="false"/>
          <w:bCs w:val="false"/>
          <w:i w:val="false"/>
          <w:iCs w:val="false"/>
          <w:color w:val="262626"/>
          <w:sz w:val="21"/>
          <w:szCs w:val="21"/>
        </w:rPr>
        <w:t xml:space="preserve">Object storage versioned; source documents are the least reproducible artefact in the system.</w:t>
      </w:r>
    </w:p>
    <w:p>
      <w:pPr>
        <w:pStyle w:val="ListParagraph"/>
        <w:numPr>
          <w:ilvl w:val="0"/>
          <w:numId w:val="2"/>
        </w:numPr>
        <w:spacing w:after="70" w:line="268"/>
      </w:pPr>
      <w:r>
        <w:rPr>
          <w:rFonts w:ascii="Calibri" w:cs="Calibri" w:eastAsia="Calibri" w:hAnsi="Calibri"/>
          <w:b w:val="false"/>
          <w:bCs w:val="false"/>
          <w:i w:val="false"/>
          <w:iCs w:val="false"/>
          <w:color w:val="262626"/>
          <w:sz w:val="21"/>
          <w:szCs w:val="21"/>
        </w:rPr>
        <w:t xml:space="preserve">Prompts, migrations and infrastructure definitions live in source control and are reproducible from it.</w:t>
      </w:r>
    </w:p>
    <w:p>
      <w:pPr>
        <w:pStyle w:val="Heading1"/>
        <w:pageBreakBefore/>
        <w:spacing w:after="160" w:before="360"/>
      </w:pPr>
      <w:r>
        <w:rPr>
          <w:rFonts w:ascii="Calibri" w:cs="Calibri" w:eastAsia="Calibri" w:hAnsi="Calibri"/>
          <w:b/>
          <w:bCs/>
          <w:color w:val="1F4E79"/>
          <w:sz w:val="30"/>
          <w:szCs w:val="30"/>
        </w:rPr>
        <w:t xml:space="preserve">11. Error Handling Strategy</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2541"/>
        <w:gridCol w:w="3209"/>
        <w:gridCol w:w="3610"/>
      </w:tblGrid>
      <w:tr>
        <w:trPr>
          <w:tblHeader/>
        </w:trPr>
        <w:tc>
          <w:tcPr>
            <w:tcW w:type="dxa" w:w="2541"/>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Failure</w:t>
            </w:r>
          </w:p>
        </w:tc>
        <w:tc>
          <w:tcPr>
            <w:tcW w:type="dxa" w:w="3209"/>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System behaviour</w:t>
            </w:r>
          </w:p>
        </w:tc>
        <w:tc>
          <w:tcPr>
            <w:tcW w:type="dxa" w:w="3610"/>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User experience</w:t>
            </w:r>
          </w:p>
        </w:tc>
      </w:tr>
      <w:tr>
        <w:tc>
          <w:tcPr>
            <w:tcW w:type="dxa" w:w="254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Document cannot be parsed</w:t>
            </w:r>
          </w:p>
        </w:tc>
        <w:tc>
          <w:tcPr>
            <w:tcW w:type="dxa" w:w="3209"/>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Job fails with a typed error; document retained.</w:t>
            </w:r>
          </w:p>
        </w:tc>
        <w:tc>
          <w:tcPr>
            <w:tcW w:type="dxa" w:w="3610"/>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Clear message naming the likely cause (scanned image, unsupported format) with the option to upload a different file or enter requirements manually.</w:t>
            </w:r>
          </w:p>
        </w:tc>
      </w:tr>
      <w:tr>
        <w:tc>
          <w:tcPr>
            <w:tcW w:type="dxa" w:w="254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Partial extraction</w:t>
            </w:r>
          </w:p>
        </w:tc>
        <w:tc>
          <w:tcPr>
            <w:tcW w:type="dxa" w:w="3209"/>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Successfully structured segments persist; failed segments retained as raw text.</w:t>
            </w:r>
          </w:p>
        </w:tc>
        <w:tc>
          <w:tcPr>
            <w:tcW w:type="dxa" w:w="361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User sees what was extracted and what needs manual entry, rather than an all-or-nothing failure.</w:t>
            </w:r>
          </w:p>
        </w:tc>
      </w:tr>
      <w:tr>
        <w:tc>
          <w:tcPr>
            <w:tcW w:type="dxa" w:w="254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Model returns invalid structure</w:t>
            </w:r>
          </w:p>
        </w:tc>
        <w:tc>
          <w:tcPr>
            <w:tcW w:type="dxa" w:w="3209"/>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One retry with the validation error; then discard and count.</w:t>
            </w:r>
          </w:p>
        </w:tc>
        <w:tc>
          <w:tcPr>
            <w:tcW w:type="dxa" w:w="3610"/>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Reported as "N cases could not be generated" with the affected requirements listed; never a silent gap.</w:t>
            </w:r>
          </w:p>
        </w:tc>
      </w:tr>
      <w:tr>
        <w:tc>
          <w:tcPr>
            <w:tcW w:type="dxa" w:w="254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Generated case fails grounding</w:t>
            </w:r>
          </w:p>
        </w:tc>
        <w:tc>
          <w:tcPr>
            <w:tcW w:type="dxa" w:w="3209"/>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Discarded, counted, metric emitted.</w:t>
            </w:r>
          </w:p>
        </w:tc>
        <w:tc>
          <w:tcPr>
            <w:tcW w:type="dxa" w:w="361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Included in the generation summary; the user never sees a fabricated case.</w:t>
            </w:r>
          </w:p>
        </w:tc>
      </w:tr>
      <w:tr>
        <w:tc>
          <w:tcPr>
            <w:tcW w:type="dxa" w:w="254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Model provider unavailable</w:t>
            </w:r>
          </w:p>
        </w:tc>
        <w:tc>
          <w:tcPr>
            <w:tcW w:type="dxa" w:w="3209"/>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Generation queue pauses with backoff; other modules unaffected.</w:t>
            </w:r>
          </w:p>
        </w:tc>
        <w:tc>
          <w:tcPr>
            <w:tcW w:type="dxa" w:w="3610"/>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Generation shows as temporarily unavailable; ingestion, execution and reporting continue.</w:t>
            </w:r>
          </w:p>
        </w:tc>
      </w:tr>
      <w:tr>
        <w:tc>
          <w:tcPr>
            <w:tcW w:type="dxa" w:w="254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System under test unreachable</w:t>
            </w:r>
          </w:p>
        </w:tc>
        <w:tc>
          <w:tcPr>
            <w:tcW w:type="dxa" w:w="3209"/>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Run aborts after the connectivity check fails.</w:t>
            </w:r>
          </w:p>
        </w:tc>
        <w:tc>
          <w:tcPr>
            <w:tcW w:type="dxa" w:w="361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One diagnostic message, not a wall of failed cases.</w:t>
            </w:r>
          </w:p>
        </w:tc>
      </w:tr>
      <w:tr>
        <w:tc>
          <w:tcPr>
            <w:tcW w:type="dxa" w:w="254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Authentication to SUT fails</w:t>
            </w:r>
          </w:p>
        </w:tc>
        <w:tc>
          <w:tcPr>
            <w:tcW w:type="dxa" w:w="3209"/>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Run aborts before executing cases (FR-EXE-04).</w:t>
            </w:r>
          </w:p>
        </w:tc>
        <w:tc>
          <w:tcPr>
            <w:tcW w:type="dxa" w:w="3610"/>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Explicit message identifying the environment and scheme that failed.</w:t>
            </w:r>
          </w:p>
        </w:tc>
      </w:tr>
      <w:tr>
        <w:tc>
          <w:tcPr>
            <w:tcW w:type="dxa" w:w="254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Individual assertion fails</w:t>
            </w:r>
          </w:p>
        </w:tc>
        <w:tc>
          <w:tcPr>
            <w:tcW w:type="dxa" w:w="3209"/>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Case marked Failed; run continues.</w:t>
            </w:r>
          </w:p>
        </w:tc>
        <w:tc>
          <w:tcPr>
            <w:tcW w:type="dxa" w:w="361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Failure detail with request, expected and actual, presented in defect-report form (FR-RPT-03).</w:t>
            </w:r>
          </w:p>
        </w:tc>
      </w:tr>
      <w:tr>
        <w:tc>
          <w:tcPr>
            <w:tcW w:type="dxa" w:w="254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Step times out</w:t>
            </w:r>
          </w:p>
        </w:tc>
        <w:tc>
          <w:tcPr>
            <w:tcW w:type="dxa" w:w="3209"/>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Case marked Errored, distinct from Failed.</w:t>
            </w:r>
          </w:p>
        </w:tc>
        <w:tc>
          <w:tcPr>
            <w:tcW w:type="dxa" w:w="3610"/>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Reported separately so infrastructure problems are not read as product defects.</w:t>
            </w:r>
          </w:p>
        </w:tc>
      </w:tr>
    </w:tbl>
    <w:p>
      <w:pPr>
        <w:pStyle w:val="Heading1"/>
        <w:pageBreakBefore/>
        <w:spacing w:after="160" w:before="360"/>
      </w:pPr>
      <w:r>
        <w:rPr>
          <w:rFonts w:ascii="Calibri" w:cs="Calibri" w:eastAsia="Calibri" w:hAnsi="Calibri"/>
          <w:b/>
          <w:bCs/>
          <w:color w:val="1F4E79"/>
          <w:sz w:val="30"/>
          <w:szCs w:val="30"/>
        </w:rPr>
        <w:t xml:space="preserve">12. Testing Strategy for TADQEEQ Itself</w:t>
      </w:r>
    </w:p>
    <w:p>
      <w:pPr>
        <w:spacing w:after="120" w:line="276"/>
      </w:pPr>
      <w:r>
        <w:rPr>
          <w:rFonts w:ascii="Calibri" w:cs="Calibri" w:eastAsia="Calibri" w:hAnsi="Calibri"/>
          <w:b w:val="false"/>
          <w:bCs w:val="false"/>
          <w:i w:val="false"/>
          <w:iCs w:val="false"/>
          <w:color w:val="262626"/>
          <w:sz w:val="21"/>
          <w:szCs w:val="21"/>
        </w:rPr>
        <w:t xml:space="preserve">A quality product built by a QA founder is expected to hold itself to the standard it sells. The suite below is scoped to what a small team can sustain in an eight-week window.</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2273"/>
        <w:gridCol w:w="3477"/>
        <w:gridCol w:w="3610"/>
      </w:tblGrid>
      <w:tr>
        <w:trPr>
          <w:tblHeader/>
        </w:trPr>
        <w:tc>
          <w:tcPr>
            <w:tcW w:type="dxa" w:w="2273"/>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Layer</w:t>
            </w:r>
          </w:p>
        </w:tc>
        <w:tc>
          <w:tcPr>
            <w:tcW w:type="dxa" w:w="3477"/>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Coverage</w:t>
            </w:r>
          </w:p>
        </w:tc>
        <w:tc>
          <w:tcPr>
            <w:tcW w:type="dxa" w:w="3610"/>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Gate</w:t>
            </w:r>
          </w:p>
        </w:tc>
      </w:tr>
      <w:tr>
        <w:tc>
          <w:tcPr>
            <w:tcW w:type="dxa" w:w="2273"/>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Unit</w:t>
            </w:r>
          </w:p>
        </w:tc>
        <w:tc>
          <w:tcPr>
            <w:tcW w:type="dxa" w:w="347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Specification normalisation, boundary derivation, decision-table enumeration, assertion evaluation, redaction, variable interpolation.</w:t>
            </w:r>
          </w:p>
        </w:tc>
        <w:tc>
          <w:tcPr>
            <w:tcW w:type="dxa" w:w="3610"/>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Must pass on every commit.</w:t>
            </w:r>
          </w:p>
        </w:tc>
      </w:tr>
      <w:tr>
        <w:tc>
          <w:tcPr>
            <w:tcW w:type="dxa" w:w="2273"/>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Grounding suite</w:t>
            </w:r>
          </w:p>
        </w:tc>
        <w:tc>
          <w:tcPr>
            <w:tcW w:type="dxa" w:w="347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Adversarial fixtures: model responses containing fabricated endpoints, parameters, body fields and assertion targets. Every one must be discarded.</w:t>
            </w:r>
          </w:p>
        </w:tc>
        <w:tc>
          <w:tcPr>
            <w:tcW w:type="dxa" w:w="361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Release gate. A build that persists a fabricated identifier does not ship.</w:t>
            </w:r>
          </w:p>
        </w:tc>
      </w:tr>
      <w:tr>
        <w:tc>
          <w:tcPr>
            <w:tcW w:type="dxa" w:w="2273"/>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Tenant isolation suite</w:t>
            </w:r>
          </w:p>
        </w:tc>
        <w:tc>
          <w:tcPr>
            <w:tcW w:type="dxa" w:w="347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Every endpoint exercised cross-tenant; every attempt must be denied.</w:t>
            </w:r>
          </w:p>
        </w:tc>
        <w:tc>
          <w:tcPr>
            <w:tcW w:type="dxa" w:w="3610"/>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Release gate.</w:t>
            </w:r>
          </w:p>
        </w:tc>
      </w:tr>
      <w:tr>
        <w:tc>
          <w:tcPr>
            <w:tcW w:type="dxa" w:w="2273"/>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Integration</w:t>
            </w:r>
          </w:p>
        </w:tc>
        <w:tc>
          <w:tcPr>
            <w:tcW w:type="dxa" w:w="347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Full pipeline against a reference API with a known specification and a known requirements document, asserting expected coverage and expected generated case count.</w:t>
            </w:r>
          </w:p>
        </w:tc>
        <w:tc>
          <w:tcPr>
            <w:tcW w:type="dxa" w:w="361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Must pass before staging promotion.</w:t>
            </w:r>
          </w:p>
        </w:tc>
      </w:tr>
      <w:tr>
        <w:tc>
          <w:tcPr>
            <w:tcW w:type="dxa" w:w="2273"/>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Golden-set evaluation</w:t>
            </w:r>
          </w:p>
        </w:tc>
        <w:tc>
          <w:tcPr>
            <w:tcW w:type="dxa" w:w="3477"/>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A fixed set of real Arabic and English requirement documents with expected extraction output, scored per prompt version.</w:t>
            </w:r>
          </w:p>
        </w:tc>
        <w:tc>
          <w:tcPr>
            <w:tcW w:type="dxa" w:w="3610"/>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Reviewed before any prompt change is released; regression blocks the change.</w:t>
            </w:r>
          </w:p>
        </w:tc>
      </w:tr>
      <w:tr>
        <w:tc>
          <w:tcPr>
            <w:tcW w:type="dxa" w:w="2273"/>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Manual exploratory</w:t>
            </w:r>
          </w:p>
        </w:tc>
        <w:tc>
          <w:tcPr>
            <w:tcW w:type="dxa" w:w="3477"/>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Review queue ergonomics, RTL layout, export fidelity.</w:t>
            </w:r>
          </w:p>
        </w:tc>
        <w:tc>
          <w:tcPr>
            <w:tcW w:type="dxa" w:w="361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Before each pilot-facing release.</w:t>
            </w:r>
          </w:p>
        </w:tc>
      </w:tr>
    </w:tbl>
    <w:p>
      <w:pPr>
        <w:pStyle w:val="Heading1"/>
        <w:pageBreakBefore/>
        <w:spacing w:after="160" w:before="360"/>
      </w:pPr>
      <w:r>
        <w:rPr>
          <w:rFonts w:ascii="Calibri" w:cs="Calibri" w:eastAsia="Calibri" w:hAnsi="Calibri"/>
          <w:b/>
          <w:bCs/>
          <w:color w:val="1F4E79"/>
          <w:sz w:val="30"/>
          <w:szCs w:val="30"/>
        </w:rPr>
        <w:t xml:space="preserve">13. Performance and Capacity Plan</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2942"/>
        <w:gridCol w:w="2674"/>
        <w:gridCol w:w="3744"/>
      </w:tblGrid>
      <w:tr>
        <w:trPr>
          <w:tblHeader/>
        </w:trPr>
        <w:tc>
          <w:tcPr>
            <w:tcW w:type="dxa" w:w="2942"/>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Target (from SRS)</w:t>
            </w:r>
          </w:p>
        </w:tc>
        <w:tc>
          <w:tcPr>
            <w:tcW w:type="dxa" w:w="2674"/>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Design response</w:t>
            </w:r>
          </w:p>
        </w:tc>
        <w:tc>
          <w:tcPr>
            <w:tcW w:type="dxa" w:w="3744"/>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Primary risk</w:t>
            </w:r>
          </w:p>
        </w:tc>
      </w:tr>
      <w:tr>
        <w:tc>
          <w:tcPr>
            <w:tcW w:type="dxa" w:w="294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Extraction ≤ 5 min for 100 pages</w:t>
            </w:r>
          </w:p>
        </w:tc>
        <w:tc>
          <w:tcPr>
            <w:tcW w:type="dxa" w:w="267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Deterministic segmentation before model calls; segments processed concurrently with a bounded pool.</w:t>
            </w:r>
          </w:p>
        </w:tc>
        <w:tc>
          <w:tcPr>
            <w:tcW w:type="dxa" w:w="374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Model latency variance; mitigated by concurrency and by segment size tuning.</w:t>
            </w:r>
          </w:p>
        </w:tc>
      </w:tr>
      <w:tr>
        <w:tc>
          <w:tcPr>
            <w:tcW w:type="dxa" w:w="294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Generation ≤ 3 min for 50 requirements</w:t>
            </w:r>
          </w:p>
        </w:tc>
        <w:tc>
          <w:tcPr>
            <w:tcW w:type="dxa" w:w="267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Per-requirement parallelism; deterministic derivation of test conditions reduces tokens required per call.</w:t>
            </w:r>
          </w:p>
        </w:tc>
        <w:tc>
          <w:tcPr>
            <w:tcW w:type="dxa" w:w="374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Cost rises with parallelism; capped per organisation.</w:t>
            </w:r>
          </w:p>
        </w:tc>
      </w:tr>
      <w:tr>
        <w:tc>
          <w:tcPr>
            <w:tcW w:type="dxa" w:w="294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100 test cases ≤ 10 min</w:t>
            </w:r>
          </w:p>
        </w:tc>
        <w:tc>
          <w:tcPr>
            <w:tcW w:type="dxa" w:w="267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Async HTTP with per-environment concurrency; cases are independent by construction.</w:t>
            </w:r>
          </w:p>
        </w:tc>
        <w:tc>
          <w:tcPr>
            <w:tcW w:type="dxa" w:w="374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Customer environment throughput, not platform throughput. Concurrency limit is per environment for this reason.</w:t>
            </w:r>
          </w:p>
        </w:tc>
      </w:tr>
      <w:tr>
        <w:tc>
          <w:tcPr>
            <w:tcW w:type="dxa" w:w="2942"/>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Matrix render ≤ 3 s at 500 requirements</w:t>
            </w:r>
          </w:p>
        </w:tc>
        <w:tc>
          <w:tcPr>
            <w:tcW w:type="dxa" w:w="267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Materialised coverage summary plus targeted indexes.</w:t>
            </w:r>
          </w:p>
        </w:tc>
        <w:tc>
          <w:tcPr>
            <w:tcW w:type="dxa" w:w="374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Refresh cost on large projects; refresh is event-driven, not polled.</w:t>
            </w:r>
          </w:p>
        </w:tc>
      </w:tr>
      <w:tr>
        <w:tc>
          <w:tcPr>
            <w:tcW w:type="dxa" w:w="2942"/>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Page render ≤ 2 s p95</w:t>
            </w:r>
          </w:p>
        </w:tc>
        <w:tc>
          <w:tcPr>
            <w:tcW w:type="dxa" w:w="267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Server-side rendering, pagination everywhere, no unbounded queries.</w:t>
            </w:r>
          </w:p>
        </w:tc>
        <w:tc>
          <w:tcPr>
            <w:tcW w:type="dxa" w:w="374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Evidence payload size; truncation with object-storage overflow.</w:t>
            </w:r>
          </w:p>
        </w:tc>
      </w:tr>
    </w:tbl>
    <w:p>
      <w:pPr>
        <w:pStyle w:val="Heading1"/>
        <w:pageBreakBefore/>
        <w:spacing w:after="160" w:before="360"/>
      </w:pPr>
      <w:r>
        <w:rPr>
          <w:rFonts w:ascii="Calibri" w:cs="Calibri" w:eastAsia="Calibri" w:hAnsi="Calibri"/>
          <w:b/>
          <w:bCs/>
          <w:color w:val="1F4E79"/>
          <w:sz w:val="30"/>
          <w:szCs w:val="30"/>
        </w:rPr>
        <w:t xml:space="preserve">14. Traceability — Requirements to Components</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3209"/>
        <w:gridCol w:w="3075"/>
        <w:gridCol w:w="3076"/>
      </w:tblGrid>
      <w:tr>
        <w:trPr>
          <w:tblHeader/>
        </w:trPr>
        <w:tc>
          <w:tcPr>
            <w:tcW w:type="dxa" w:w="3209"/>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Functional requirement group</w:t>
            </w:r>
          </w:p>
        </w:tc>
        <w:tc>
          <w:tcPr>
            <w:tcW w:type="dxa" w:w="3075"/>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Implementing component</w:t>
            </w:r>
          </w:p>
        </w:tc>
        <w:tc>
          <w:tcPr>
            <w:tcW w:type="dxa" w:w="3076"/>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Section</w:t>
            </w:r>
          </w:p>
        </w:tc>
      </w:tr>
      <w:tr>
        <w:tc>
          <w:tcPr>
            <w:tcW w:type="dxa" w:w="3209"/>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FR-USR-01 … 08 (users, roles, audit)</w:t>
            </w:r>
          </w:p>
        </w:tc>
        <w:tc>
          <w:tcPr>
            <w:tcW w:type="dxa" w:w="3075"/>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identity module, RLS, audit log</w:t>
            </w:r>
          </w:p>
        </w:tc>
        <w:tc>
          <w:tcPr>
            <w:tcW w:type="dxa" w:w="3076"/>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4.x, 6.1, 5.1</w:t>
            </w:r>
          </w:p>
        </w:tc>
      </w:tr>
      <w:tr>
        <w:tc>
          <w:tcPr>
            <w:tcW w:type="dxa" w:w="3209"/>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FR-PRJ-01 … 07 (projects, environments, secrets)</w:t>
            </w:r>
          </w:p>
        </w:tc>
        <w:tc>
          <w:tcPr>
            <w:tcW w:type="dxa" w:w="3075"/>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projects module, secret store</w:t>
            </w:r>
          </w:p>
        </w:tc>
        <w:tc>
          <w:tcPr>
            <w:tcW w:type="dxa" w:w="3076"/>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5.1, 6.2</w:t>
            </w:r>
          </w:p>
        </w:tc>
      </w:tr>
      <w:tr>
        <w:tc>
          <w:tcPr>
            <w:tcW w:type="dxa" w:w="3209"/>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FR-REQ-01 … 10 (ingestion)</w:t>
            </w:r>
          </w:p>
        </w:tc>
        <w:tc>
          <w:tcPr>
            <w:tcW w:type="dxa" w:w="3075"/>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Requirements Parser</w:t>
            </w:r>
          </w:p>
        </w:tc>
        <w:tc>
          <w:tcPr>
            <w:tcW w:type="dxa" w:w="3076"/>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4.1</w:t>
            </w:r>
          </w:p>
        </w:tc>
      </w:tr>
      <w:tr>
        <w:tc>
          <w:tcPr>
            <w:tcW w:type="dxa" w:w="3209"/>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FR-DSC-01 … 07 (discovery)</w:t>
            </w:r>
          </w:p>
        </w:tc>
        <w:tc>
          <w:tcPr>
            <w:tcW w:type="dxa" w:w="3075"/>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Discovery Engine</w:t>
            </w:r>
          </w:p>
        </w:tc>
        <w:tc>
          <w:tcPr>
            <w:tcW w:type="dxa" w:w="3076"/>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4.2</w:t>
            </w:r>
          </w:p>
        </w:tc>
      </w:tr>
      <w:tr>
        <w:tc>
          <w:tcPr>
            <w:tcW w:type="dxa" w:w="3209"/>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FR-GEN-01 … 05, 07 … 12 (generation)</w:t>
            </w:r>
          </w:p>
        </w:tc>
        <w:tc>
          <w:tcPr>
            <w:tcW w:type="dxa" w:w="3075"/>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Test Generator</w:t>
            </w:r>
          </w:p>
        </w:tc>
        <w:tc>
          <w:tcPr>
            <w:tcW w:type="dxa" w:w="3076"/>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4.4</w:t>
            </w:r>
          </w:p>
        </w:tc>
      </w:tr>
      <w:tr>
        <w:tc>
          <w:tcPr>
            <w:tcW w:type="dxa" w:w="3209"/>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FR-GEN-06, FR-GEN-13, NFR-REL-04 (grounding)</w:t>
            </w:r>
          </w:p>
        </w:tc>
        <w:tc>
          <w:tcPr>
            <w:tcW w:type="dxa" w:w="3075"/>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Grounding Validator, Requirement–Endpoint Mapper</w:t>
            </w:r>
          </w:p>
        </w:tc>
        <w:tc>
          <w:tcPr>
            <w:tcW w:type="dxa" w:w="3076"/>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4.3, 4.5</w:t>
            </w:r>
          </w:p>
        </w:tc>
      </w:tr>
      <w:tr>
        <w:tc>
          <w:tcPr>
            <w:tcW w:type="dxa" w:w="3209"/>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FR-REV-01 … 07 (review)</w:t>
            </w:r>
          </w:p>
        </w:tc>
        <w:tc>
          <w:tcPr>
            <w:tcW w:type="dxa" w:w="3075"/>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review module, test case state machine</w:t>
            </w:r>
          </w:p>
        </w:tc>
        <w:tc>
          <w:tcPr>
            <w:tcW w:type="dxa" w:w="3076"/>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4.x, 5.1</w:t>
            </w:r>
          </w:p>
        </w:tc>
      </w:tr>
      <w:tr>
        <w:tc>
          <w:tcPr>
            <w:tcW w:type="dxa" w:w="3209"/>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FR-EXE-01 … 12 (execution)</w:t>
            </w:r>
          </w:p>
        </w:tc>
        <w:tc>
          <w:tcPr>
            <w:tcW w:type="dxa" w:w="3075"/>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Execution Engine and workers</w:t>
            </w:r>
          </w:p>
        </w:tc>
        <w:tc>
          <w:tcPr>
            <w:tcW w:type="dxa" w:w="3076"/>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4.6, 8</w:t>
            </w:r>
          </w:p>
        </w:tc>
      </w:tr>
      <w:tr>
        <w:tc>
          <w:tcPr>
            <w:tcW w:type="dxa" w:w="3209"/>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FR-TRC-01 … 07 (traceability)</w:t>
            </w:r>
          </w:p>
        </w:tc>
        <w:tc>
          <w:tcPr>
            <w:tcW w:type="dxa" w:w="3075"/>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Traceability Engine</w:t>
            </w:r>
          </w:p>
        </w:tc>
        <w:tc>
          <w:tcPr>
            <w:tcW w:type="dxa" w:w="3076"/>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4.7</w:t>
            </w:r>
          </w:p>
        </w:tc>
      </w:tr>
      <w:tr>
        <w:tc>
          <w:tcPr>
            <w:tcW w:type="dxa" w:w="3209"/>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FR-RPT-01 … 08 (reporting)</w:t>
            </w:r>
          </w:p>
        </w:tc>
        <w:tc>
          <w:tcPr>
            <w:tcW w:type="dxa" w:w="3075"/>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Reporting Engine</w:t>
            </w:r>
          </w:p>
        </w:tc>
        <w:tc>
          <w:tcPr>
            <w:tcW w:type="dxa" w:w="3076"/>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4.8</w:t>
            </w:r>
          </w:p>
        </w:tc>
      </w:tr>
      <w:tr>
        <w:tc>
          <w:tcPr>
            <w:tcW w:type="dxa" w:w="3209"/>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NFR-SEC-01 … 10</w:t>
            </w:r>
          </w:p>
        </w:tc>
        <w:tc>
          <w:tcPr>
            <w:tcW w:type="dxa" w:w="3075"/>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Security design</w:t>
            </w:r>
          </w:p>
        </w:tc>
        <w:tc>
          <w:tcPr>
            <w:tcW w:type="dxa" w:w="3076"/>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6</w:t>
            </w:r>
          </w:p>
        </w:tc>
      </w:tr>
      <w:tr>
        <w:tc>
          <w:tcPr>
            <w:tcW w:type="dxa" w:w="3209"/>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NFR-POR-01 … 04, NFR-COM-02</w:t>
            </w:r>
          </w:p>
        </w:tc>
        <w:tc>
          <w:tcPr>
            <w:tcW w:type="dxa" w:w="3075"/>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Containerisation, LLM abstraction, deployment model</w:t>
            </w:r>
          </w:p>
        </w:tc>
        <w:tc>
          <w:tcPr>
            <w:tcW w:type="dxa" w:w="3076"/>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3, 4.9, 10</w:t>
            </w:r>
          </w:p>
        </w:tc>
      </w:tr>
      <w:tr>
        <w:tc>
          <w:tcPr>
            <w:tcW w:type="dxa" w:w="3209"/>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NFR-MNT-01 … 04</w:t>
            </w:r>
          </w:p>
        </w:tc>
        <w:tc>
          <w:tcPr>
            <w:tcW w:type="dxa" w:w="3075"/>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Observability, prompt registry, gate suites</w:t>
            </w:r>
          </w:p>
        </w:tc>
        <w:tc>
          <w:tcPr>
            <w:tcW w:type="dxa" w:w="3076"/>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9, 10.2, 12</w:t>
            </w:r>
          </w:p>
        </w:tc>
      </w:tr>
    </w:tbl>
    <w:p>
      <w:pPr>
        <w:pStyle w:val="Heading1"/>
        <w:pageBreakBefore/>
        <w:spacing w:after="160" w:before="360"/>
      </w:pPr>
      <w:r>
        <w:rPr>
          <w:rFonts w:ascii="Calibri" w:cs="Calibri" w:eastAsia="Calibri" w:hAnsi="Calibri"/>
          <w:b/>
          <w:bCs/>
          <w:color w:val="1F4E79"/>
          <w:sz w:val="30"/>
          <w:szCs w:val="30"/>
        </w:rPr>
        <w:t xml:space="preserve">15. Technical Risks</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1070"/>
        <w:gridCol w:w="3744"/>
        <w:gridCol w:w="4546"/>
      </w:tblGrid>
      <w:tr>
        <w:trPr>
          <w:tblHeader/>
        </w:trPr>
        <w:tc>
          <w:tcPr>
            <w:tcW w:type="dxa" w:w="1070"/>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8"/>
                <w:szCs w:val="18"/>
              </w:rPr>
              <w:t xml:space="preserve">ID</w:t>
            </w:r>
          </w:p>
        </w:tc>
        <w:tc>
          <w:tcPr>
            <w:tcW w:type="dxa" w:w="3744"/>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8"/>
                <w:szCs w:val="18"/>
              </w:rPr>
              <w:t xml:space="preserve">Risk</w:t>
            </w:r>
          </w:p>
        </w:tc>
        <w:tc>
          <w:tcPr>
            <w:tcW w:type="dxa" w:w="4546"/>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8"/>
                <w:szCs w:val="18"/>
              </w:rPr>
              <w:t xml:space="preserve">Mitigation</w:t>
            </w:r>
          </w:p>
        </w:tc>
      </w:tr>
      <w:tr>
        <w:tc>
          <w:tcPr>
            <w:tcW w:type="dxa" w:w="107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T-01</w:t>
            </w:r>
          </w:p>
        </w:tc>
        <w:tc>
          <w:tcPr>
            <w:tcW w:type="dxa" w:w="374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Model output quality is inadequate: generated cases are shallow, generic, or miss the acceptance criteria.</w:t>
            </w:r>
          </w:p>
        </w:tc>
        <w:tc>
          <w:tcPr>
            <w:tcW w:type="dxa" w:w="4546"/>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Deterministic derivation of test conditions from schemas means the model contributes expression, not analysis. Golden-set evaluation per prompt version; reviewer approval rate tracked as a first-class metric.</w:t>
            </w:r>
          </w:p>
        </w:tc>
      </w:tr>
      <w:tr>
        <w:tc>
          <w:tcPr>
            <w:tcW w:type="dxa" w:w="107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T-02</w:t>
            </w:r>
          </w:p>
        </w:tc>
        <w:tc>
          <w:tcPr>
            <w:tcW w:type="dxa" w:w="374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Arabic PDF extraction loses reading order or mangles bidirectional text, undermining the core differentiator.</w:t>
            </w:r>
          </w:p>
        </w:tc>
        <w:tc>
          <w:tcPr>
            <w:tcW w:type="dxa" w:w="4546"/>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Validate against three real partner documents before build (open item E-01). Layout-aware pre-processing with logical-order normalisation. If quality is inadequate, fall back to DOCX-first support and say so honestly rather than shipping poor Arabic parsing.</w:t>
            </w:r>
          </w:p>
        </w:tc>
      </w:tr>
      <w:tr>
        <w:tc>
          <w:tcPr>
            <w:tcW w:type="dxa" w:w="107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T-03</w:t>
            </w:r>
          </w:p>
        </w:tc>
        <w:tc>
          <w:tcPr>
            <w:tcW w:type="dxa" w:w="374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Model cost per project exceeds sustainable margin.</w:t>
            </w:r>
          </w:p>
        </w:tc>
        <w:tc>
          <w:tcPr>
            <w:tcW w:type="dxa" w:w="4546"/>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Deterministic pre-processing reduces prompt size materially; per-call metering from day one; caching of parsed artefacts; plan-level volume limits; provider substitution available by configuration.</w:t>
            </w:r>
          </w:p>
        </w:tc>
      </w:tr>
      <w:tr>
        <w:tc>
          <w:tcPr>
            <w:tcW w:type="dxa" w:w="107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T-04</w:t>
            </w:r>
          </w:p>
        </w:tc>
        <w:tc>
          <w:tcPr>
            <w:tcW w:type="dxa" w:w="374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The execution engine inadvertently load-tests or mutates a customer environment.</w:t>
            </w:r>
          </w:p>
        </w:tc>
        <w:tc>
          <w:tcPr>
            <w:tcW w:type="dxa" w:w="4546"/>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Per-environment concurrency limits; explicit non-production warning at environment setup; teardown steps supported; destructive-method generation requires explicit opt-in per environment.</w:t>
            </w:r>
          </w:p>
        </w:tc>
      </w:tr>
      <w:tr>
        <w:tc>
          <w:tcPr>
            <w:tcW w:type="dxa" w:w="107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T-05</w:t>
            </w:r>
          </w:p>
        </w:tc>
        <w:tc>
          <w:tcPr>
            <w:tcW w:type="dxa" w:w="374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Requirement change detection produces excessive false staleness, causing reviewer fatigue and abandonment.</w:t>
            </w:r>
          </w:p>
        </w:tc>
        <w:tc>
          <w:tcPr>
            <w:tcW w:type="dxa" w:w="4546"/>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Content-hash comparison with normalisation, plus a materiality threshold so formatting-only changes do not trigger staleness. Tune against real partner document revisions during the pilot.</w:t>
            </w:r>
          </w:p>
        </w:tc>
      </w:tr>
      <w:tr>
        <w:tc>
          <w:tcPr>
            <w:tcW w:type="dxa" w:w="107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T-06</w:t>
            </w:r>
          </w:p>
        </w:tc>
        <w:tc>
          <w:tcPr>
            <w:tcW w:type="dxa" w:w="374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Specification quality is poor: real-world OpenAPI files are incomplete, so grounding rejects most generated cases.</w:t>
            </w:r>
          </w:p>
        </w:tc>
        <w:tc>
          <w:tcPr>
            <w:tcW w:type="dxa" w:w="4546"/>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Report inventory completeness at import (operations lacking schemas or constraints). Set expectations at onboarding; treat specification quality as a customer-visible metric rather than an invisible cause of poor output.</w:t>
            </w:r>
          </w:p>
        </w:tc>
      </w:tr>
      <w:tr>
        <w:tc>
          <w:tcPr>
            <w:tcW w:type="dxa" w:w="107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T-07</w:t>
            </w:r>
          </w:p>
        </w:tc>
        <w:tc>
          <w:tcPr>
            <w:tcW w:type="dxa" w:w="374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PDF export cannot render Arabic correctly, breaking the primary customer-facing artefact.</w:t>
            </w:r>
          </w:p>
        </w:tc>
        <w:tc>
          <w:tcPr>
            <w:tcW w:type="dxa" w:w="4546"/>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Rendering engine selection is gated on an RTL shaping test before the build commits to it (section 4.8).</w:t>
            </w:r>
          </w:p>
        </w:tc>
      </w:tr>
      <w:tr>
        <w:tc>
          <w:tcPr>
            <w:tcW w:type="dxa" w:w="107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T-08</w:t>
            </w:r>
          </w:p>
        </w:tc>
        <w:tc>
          <w:tcPr>
            <w:tcW w:type="dxa" w:w="374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Evidence payload growth degrades database performance.</w:t>
            </w:r>
          </w:p>
        </w:tc>
        <w:tc>
          <w:tcPr>
            <w:tcW w:type="dxa" w:w="4546"/>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Truncation with object-storage overflow; retention policy on evidence older than a configured age.</w:t>
            </w:r>
          </w:p>
        </w:tc>
      </w:tr>
      <w:tr>
        <w:tc>
          <w:tcPr>
            <w:tcW w:type="dxa" w:w="107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8"/>
                <w:szCs w:val="18"/>
              </w:rPr>
              <w:t xml:space="preserve">T-09</w:t>
            </w:r>
          </w:p>
        </w:tc>
        <w:tc>
          <w:tcPr>
            <w:tcW w:type="dxa" w:w="374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Scope pressure to add UI testing mid-build destabilises the MVP.</w:t>
            </w:r>
          </w:p>
        </w:tc>
        <w:tc>
          <w:tcPr>
            <w:tcW w:type="dxa" w:w="4546"/>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8"/>
                <w:szCs w:val="18"/>
              </w:rPr>
              <w:t xml:space="preserve">BRD BR-16 marks it Won’t-have; section 8.3 of the BRD requires a formal scope trade. The architectural boundary between generation and execution is drawn so that a UI runner can be added later without redesign.</w:t>
            </w:r>
          </w:p>
        </w:tc>
      </w:tr>
    </w:tbl>
    <w:p>
      <w:pPr>
        <w:pStyle w:val="Heading1"/>
        <w:pageBreakBefore/>
        <w:spacing w:after="160" w:before="360"/>
      </w:pPr>
      <w:r>
        <w:rPr>
          <w:rFonts w:ascii="Calibri" w:cs="Calibri" w:eastAsia="Calibri" w:hAnsi="Calibri"/>
          <w:b/>
          <w:bCs/>
          <w:color w:val="1F4E79"/>
          <w:sz w:val="30"/>
          <w:szCs w:val="30"/>
        </w:rPr>
        <w:t xml:space="preserve">16. Open Technical Decisions</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1070"/>
        <w:gridCol w:w="5081"/>
        <w:gridCol w:w="3209"/>
      </w:tblGrid>
      <w:tr>
        <w:trPr>
          <w:tblHeader/>
        </w:trPr>
        <w:tc>
          <w:tcPr>
            <w:tcW w:type="dxa" w:w="1070"/>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ID</w:t>
            </w:r>
          </w:p>
        </w:tc>
        <w:tc>
          <w:tcPr>
            <w:tcW w:type="dxa" w:w="5081"/>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Decision required</w:t>
            </w:r>
          </w:p>
        </w:tc>
        <w:tc>
          <w:tcPr>
            <w:tcW w:type="dxa" w:w="3209"/>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Needed by</w:t>
            </w:r>
          </w:p>
        </w:tc>
      </w:tr>
      <w:tr>
        <w:tc>
          <w:tcPr>
            <w:tcW w:type="dxa" w:w="107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D-01</w:t>
            </w:r>
          </w:p>
        </w:tc>
        <w:tc>
          <w:tcPr>
            <w:tcW w:type="dxa" w:w="508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Arabic PDF pre-processing approach: layout-aware library alone, or with an OCR fallback for scanned documents.</w:t>
            </w:r>
          </w:p>
        </w:tc>
        <w:tc>
          <w:tcPr>
            <w:tcW w:type="dxa" w:w="3209"/>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Before build start; depends on the E-01 experiment.</w:t>
            </w:r>
          </w:p>
        </w:tc>
      </w:tr>
      <w:tr>
        <w:tc>
          <w:tcPr>
            <w:tcW w:type="dxa" w:w="107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D-02</w:t>
            </w:r>
          </w:p>
        </w:tc>
        <w:tc>
          <w:tcPr>
            <w:tcW w:type="dxa" w:w="508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Embedding model and store for requirement–endpoint candidate retrieval, or whether lexical matching alone is sufficient at MVP scale.</w:t>
            </w:r>
          </w:p>
        </w:tc>
        <w:tc>
          <w:tcPr>
            <w:tcW w:type="dxa" w:w="3209"/>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Sprint 1.</w:t>
            </w:r>
          </w:p>
        </w:tc>
      </w:tr>
      <w:tr>
        <w:tc>
          <w:tcPr>
            <w:tcW w:type="dxa" w:w="107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D-03</w:t>
            </w:r>
          </w:p>
        </w:tc>
        <w:tc>
          <w:tcPr>
            <w:tcW w:type="dxa" w:w="508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Requirement versioning representation: full snapshot per version, or diff chain. Affects staleness detection cost.</w:t>
            </w:r>
          </w:p>
        </w:tc>
        <w:tc>
          <w:tcPr>
            <w:tcW w:type="dxa" w:w="3209"/>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Sprint 1 (SRS E-06).</w:t>
            </w:r>
          </w:p>
        </w:tc>
      </w:tr>
      <w:tr>
        <w:tc>
          <w:tcPr>
            <w:tcW w:type="dxa" w:w="107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D-04</w:t>
            </w:r>
          </w:p>
        </w:tc>
        <w:tc>
          <w:tcPr>
            <w:tcW w:type="dxa" w:w="508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Master key custody for on-premise deployments: file-backed, HSM, or customer-supplied.</w:t>
            </w:r>
          </w:p>
        </w:tc>
        <w:tc>
          <w:tcPr>
            <w:tcW w:type="dxa" w:w="3209"/>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Sprint 2 (SRS E-04).</w:t>
            </w:r>
          </w:p>
        </w:tc>
      </w:tr>
      <w:tr>
        <w:tc>
          <w:tcPr>
            <w:tcW w:type="dxa" w:w="107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D-05</w:t>
            </w:r>
          </w:p>
        </w:tc>
        <w:tc>
          <w:tcPr>
            <w:tcW w:type="dxa" w:w="508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PDF rendering engine, gated on the Arabic shaping test.</w:t>
            </w:r>
          </w:p>
        </w:tc>
        <w:tc>
          <w:tcPr>
            <w:tcW w:type="dxa" w:w="3209"/>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Sprint 2.</w:t>
            </w:r>
          </w:p>
        </w:tc>
      </w:tr>
      <w:tr>
        <w:tc>
          <w:tcPr>
            <w:tcW w:type="dxa" w:w="1070"/>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D-06</w:t>
            </w:r>
          </w:p>
        </w:tc>
        <w:tc>
          <w:tcPr>
            <w:tcW w:type="dxa" w:w="508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Whether the public API ships with the MVP or is held until v2, given the CI/CD integration timeline.</w:t>
            </w:r>
          </w:p>
        </w:tc>
        <w:tc>
          <w:tcPr>
            <w:tcW w:type="dxa" w:w="3209"/>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Sprint 2.</w:t>
            </w:r>
          </w:p>
        </w:tc>
      </w:tr>
      <w:tr>
        <w:tc>
          <w:tcPr>
            <w:tcW w:type="dxa" w:w="1070"/>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D-07</w:t>
            </w:r>
          </w:p>
        </w:tc>
        <w:tc>
          <w:tcPr>
            <w:tcW w:type="dxa" w:w="508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Self-hosted model candidate and the minimum acceptable extraction quality for the on-premise configuration.</w:t>
            </w:r>
          </w:p>
        </w:tc>
        <w:tc>
          <w:tcPr>
            <w:tcW w:type="dxa" w:w="3209"/>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Before the first segment-2 proposal.</w:t>
            </w:r>
          </w:p>
        </w:tc>
      </w:tr>
    </w:tbl>
    <w:p>
      <w:pPr>
        <w:pStyle w:val="Heading1"/>
        <w:pageBreakBefore/>
        <w:spacing w:after="160" w:before="360"/>
      </w:pPr>
      <w:r>
        <w:rPr>
          <w:rFonts w:ascii="Calibri" w:cs="Calibri" w:eastAsia="Calibri" w:hAnsi="Calibri"/>
          <w:b/>
          <w:bCs/>
          <w:color w:val="1F4E79"/>
          <w:sz w:val="30"/>
          <w:szCs w:val="30"/>
        </w:rPr>
        <w:t xml:space="preserve">17. Build Sequence</w:t>
      </w:r>
    </w:p>
    <w:p>
      <w:pPr>
        <w:spacing w:after="120" w:line="276"/>
      </w:pPr>
      <w:r>
        <w:rPr>
          <w:rFonts w:ascii="Calibri" w:cs="Calibri" w:eastAsia="Calibri" w:hAnsi="Calibri"/>
          <w:b w:val="false"/>
          <w:bCs w:val="false"/>
          <w:i w:val="false"/>
          <w:iCs w:val="false"/>
          <w:color w:val="262626"/>
          <w:sz w:val="21"/>
          <w:szCs w:val="21"/>
        </w:rPr>
        <w:t xml:space="preserve">Indicative sequencing for a six to eight week window with a small team. Sequenced so that the riskiest assumptions are tested first, not last.</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1605"/>
        <w:gridCol w:w="4011"/>
        <w:gridCol w:w="3744"/>
      </w:tblGrid>
      <w:tr>
        <w:trPr>
          <w:tblHeader/>
        </w:trPr>
        <w:tc>
          <w:tcPr>
            <w:tcW w:type="dxa" w:w="1605"/>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Sprint</w:t>
            </w:r>
          </w:p>
        </w:tc>
        <w:tc>
          <w:tcPr>
            <w:tcW w:type="dxa" w:w="4011"/>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Deliverable</w:t>
            </w:r>
          </w:p>
        </w:tc>
        <w:tc>
          <w:tcPr>
            <w:tcW w:type="dxa" w:w="3744"/>
            <w:shd w:fill="1F4E79"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FFFFFF"/>
                <w:sz w:val="19"/>
                <w:szCs w:val="19"/>
              </w:rPr>
              <w:t xml:space="preserve">Rationale</w:t>
            </w:r>
          </w:p>
        </w:tc>
      </w:tr>
      <w:tr>
        <w:tc>
          <w:tcPr>
            <w:tcW w:type="dxa" w:w="1605"/>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Sprint 0 (pre-build)</w:t>
            </w:r>
          </w:p>
        </w:tc>
        <w:tc>
          <w:tcPr>
            <w:tcW w:type="dxa" w:w="401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Arabic extraction experiment on three real documents; specification availability survey; grounding schema and validation rules defined.</w:t>
            </w:r>
          </w:p>
        </w:tc>
        <w:tc>
          <w:tcPr>
            <w:tcW w:type="dxa" w:w="374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Both of the assumptions that could invalidate the product are tested before code is committed.</w:t>
            </w:r>
          </w:p>
        </w:tc>
      </w:tr>
      <w:tr>
        <w:tc>
          <w:tcPr>
            <w:tcW w:type="dxa" w:w="1605"/>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Sprint 1</w:t>
            </w:r>
          </w:p>
        </w:tc>
        <w:tc>
          <w:tcPr>
            <w:tcW w:type="dxa" w:w="401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Identity, organisations, projects, environments; specification import and endpoint inventory; grounding validator with its adversarial test suite.</w:t>
            </w:r>
          </w:p>
        </w:tc>
        <w:tc>
          <w:tcPr>
            <w:tcW w:type="dxa" w:w="374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Builds the deterministic foundation that everything else is validated against.</w:t>
            </w:r>
          </w:p>
        </w:tc>
      </w:tr>
      <w:tr>
        <w:tc>
          <w:tcPr>
            <w:tcW w:type="dxa" w:w="1605"/>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Sprint 2</w:t>
            </w:r>
          </w:p>
        </w:tc>
        <w:tc>
          <w:tcPr>
            <w:tcW w:type="dxa" w:w="401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Requirements parser with versioning; requirement confirmation interface; requirement–endpoint mapper.</w:t>
            </w:r>
          </w:p>
        </w:tc>
        <w:tc>
          <w:tcPr>
            <w:tcW w:type="dxa" w:w="374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Delivers the differentiating ingestion capability once the target inventory exists to ground it.</w:t>
            </w:r>
          </w:p>
        </w:tc>
      </w:tr>
      <w:tr>
        <w:tc>
          <w:tcPr>
            <w:tcW w:type="dxa" w:w="1605"/>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Sprint 3</w:t>
            </w:r>
          </w:p>
        </w:tc>
        <w:tc>
          <w:tcPr>
            <w:tcW w:type="dxa" w:w="401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Test generator with the three design techniques; review queue; approval audit trail.</w:t>
            </w:r>
          </w:p>
        </w:tc>
        <w:tc>
          <w:tcPr>
            <w:tcW w:type="dxa" w:w="374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The core value loop becomes visible to a reviewer for the first time.</w:t>
            </w:r>
          </w:p>
        </w:tc>
      </w:tr>
      <w:tr>
        <w:tc>
          <w:tcPr>
            <w:tcW w:type="dxa" w:w="1605"/>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Sprint 4</w:t>
            </w:r>
          </w:p>
        </w:tc>
        <w:tc>
          <w:tcPr>
            <w:tcW w:type="dxa" w:w="401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Execution engine, assertions, evidence capture, run reports.</w:t>
            </w:r>
          </w:p>
        </w:tc>
        <w:tc>
          <w:tcPr>
            <w:tcW w:type="dxa" w:w="374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Closes the loop from requirement to result.</w:t>
            </w:r>
          </w:p>
        </w:tc>
      </w:tr>
      <w:tr>
        <w:tc>
          <w:tcPr>
            <w:tcW w:type="dxa" w:w="1605"/>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Sprint 5</w:t>
            </w:r>
          </w:p>
        </w:tc>
        <w:tc>
          <w:tcPr>
            <w:tcW w:type="dxa" w:w="4011"/>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Traceability matrix, coverage gaps, staleness detection, Excel and PDF exports.</w:t>
            </w:r>
          </w:p>
        </w:tc>
        <w:tc>
          <w:tcPr>
            <w:tcW w:type="dxa" w:w="3744"/>
            <w:shd w:fill="F2F2F2" w:color="auto" w:val="clear"/>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Delivers the artefact customers show to clients and auditors — the commercial proof point.</w:t>
            </w:r>
          </w:p>
        </w:tc>
      </w:tr>
      <w:tr>
        <w:tc>
          <w:tcPr>
            <w:tcW w:type="dxa" w:w="1605"/>
            <w:tcMar>
              <w:top w:type="dxa" w:w="60"/>
              <w:left w:type="dxa" w:w="100"/>
              <w:bottom w:type="dxa" w:w="60"/>
              <w:right w:type="dxa" w:w="100"/>
            </w:tcMar>
            <w:vAlign w:val="center"/>
          </w:tcPr>
          <w:p>
            <w:pPr>
              <w:spacing w:after="40" w:before="40" w:line="252"/>
            </w:pPr>
            <w:r>
              <w:rPr>
                <w:rFonts w:ascii="Calibri" w:cs="Calibri" w:eastAsia="Calibri" w:hAnsi="Calibri"/>
                <w:b/>
                <w:bCs/>
                <w:color w:val="262626"/>
                <w:sz w:val="19"/>
                <w:szCs w:val="19"/>
              </w:rPr>
              <w:t xml:space="preserve">Sprint 6</w:t>
            </w:r>
          </w:p>
        </w:tc>
        <w:tc>
          <w:tcPr>
            <w:tcW w:type="dxa" w:w="4011"/>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Hardening: tenant isolation suite, performance against targets, RTL export verification, pilot onboarding.</w:t>
            </w:r>
          </w:p>
        </w:tc>
        <w:tc>
          <w:tcPr>
            <w:tcW w:type="dxa" w:w="3744"/>
            <w:tcMar>
              <w:top w:type="dxa" w:w="60"/>
              <w:left w:type="dxa" w:w="100"/>
              <w:bottom w:type="dxa" w:w="60"/>
              <w:right w:type="dxa" w:w="100"/>
            </w:tcMar>
            <w:vAlign w:val="center"/>
          </w:tcPr>
          <w:p>
            <w:pPr>
              <w:spacing w:after="40" w:before="40" w:line="252"/>
            </w:pPr>
            <w:r>
              <w:rPr>
                <w:rFonts w:ascii="Calibri" w:cs="Calibri" w:eastAsia="Calibri" w:hAnsi="Calibri"/>
                <w:b w:val="false"/>
                <w:bCs w:val="false"/>
                <w:color w:val="262626"/>
                <w:sz w:val="19"/>
                <w:szCs w:val="19"/>
              </w:rPr>
              <w:t xml:space="preserve">Nothing reaches a design partner before the two gate suites pass.</w:t>
            </w:r>
          </w:p>
        </w:tc>
      </w:tr>
    </w:tbl>
    <w:p>
      <w:pPr>
        <w:pStyle w:val="Heading1"/>
        <w:pageBreakBefore/>
        <w:spacing w:after="160" w:before="360"/>
      </w:pPr>
      <w:r>
        <w:rPr>
          <w:rFonts w:ascii="Calibri" w:cs="Calibri" w:eastAsia="Calibri" w:hAnsi="Calibri"/>
          <w:b/>
          <w:bCs/>
          <w:color w:val="1F4E79"/>
          <w:sz w:val="30"/>
          <w:szCs w:val="30"/>
        </w:rPr>
        <w:t xml:space="preserve">18. Summary</w:t>
      </w:r>
    </w:p>
    <w:p>
      <w:pPr>
        <w:spacing w:after="120" w:line="276"/>
      </w:pPr>
      <w:r>
        <w:rPr>
          <w:rFonts w:ascii="Calibri" w:cs="Calibri" w:eastAsia="Calibri" w:hAnsi="Calibri"/>
          <w:b w:val="false"/>
          <w:bCs w:val="false"/>
          <w:i w:val="false"/>
          <w:iCs w:val="false"/>
          <w:color w:val="262626"/>
          <w:sz w:val="21"/>
          <w:szCs w:val="21"/>
        </w:rPr>
        <w:t xml:space="preserve">The architecture is deliberately conservative everywhere except the two places where the product must be different: the grounding pipeline that makes generated tests trustworthy, and the relational traceability core that makes coverage and staleness computable rather than manual.</w:t>
      </w:r>
    </w:p>
    <w:p>
      <w:pPr>
        <w:spacing w:after="120" w:line="276"/>
      </w:pPr>
      <w:r>
        <w:rPr>
          <w:rFonts w:ascii="Calibri" w:cs="Calibri" w:eastAsia="Calibri" w:hAnsi="Calibri"/>
          <w:b w:val="false"/>
          <w:bCs w:val="false"/>
          <w:i w:val="false"/>
          <w:iCs w:val="false"/>
          <w:color w:val="262626"/>
          <w:sz w:val="21"/>
          <w:szCs w:val="21"/>
        </w:rPr>
        <w:t xml:space="preserve">The most important technical property of this design is stated once more, because it is the property on which customer trust rests: the language model never contributes an identifier. Endpoints, parameters, fields and boundaries are derived deterministically from discovered artefacts; the model expresses them. Every generated case is verified against the inventory before it is persisted, and a build that fails that check does not ship.</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Calibri" w:cs="Calibri" w:eastAsia="Calibri" w:hAnsi="Calibri"/>
        <w:color w:val="808080"/>
        <w:sz w:val="16"/>
        <w:szCs w:val="16"/>
      </w:rPr>
      <w:t xml:space="preserve">Confidential</w:t>
    </w:r>
    <w:r>
      <w:rPr>
        <w:rFonts w:ascii="Calibri" w:cs="Calibri" w:eastAsia="Calibri" w:hAnsi="Calibri"/>
        <w:color w:val="808080"/>
        <w:sz w:val="16"/>
        <w:szCs w:val="16"/>
      </w:rPr>
      <w:t xml:space="preserve">	Page </w:t>
    </w:r>
    <w:r>
      <w:rPr>
        <w:rFonts w:ascii="Calibri" w:cs="Calibri" w:eastAsia="Calibri" w:hAnsi="Calibri"/>
        <w:color w:val="808080"/>
        <w:sz w:val="16"/>
        <w:szCs w:val="16"/>
      </w:rPr>
      <w:fldChar w:fldCharType="begin"/>
      <w:instrText xml:space="preserve">PAGE</w:instrText>
      <w:fldChar w:fldCharType="separate"/>
      <w:fldChar w:fldCharType="end"/>
    </w:r>
    <w:r>
      <w:rPr>
        <w:rFonts w:ascii="Calibri" w:cs="Calibri" w:eastAsia="Calibri" w:hAnsi="Calibri"/>
        <w:color w:val="808080"/>
        <w:sz w:val="16"/>
        <w:szCs w:val="16"/>
      </w:rPr>
      <w:t xml:space="preserve"> of </w:t>
    </w:r>
    <w:r>
      <w:rPr>
        <w:rFonts w:ascii="Calibri" w:cs="Calibri" w:eastAsia="Calibri" w:hAnsi="Calibri"/>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6"/>
      </w:pBdr>
      <w:tabs>
        <w:tab w:val="right" w:pos="9360"/>
      </w:tabs>
      <w:spacing w:after="40"/>
    </w:pPr>
    <w:r>
      <w:rPr>
        <w:rFonts w:ascii="Calibri" w:cs="Calibri" w:eastAsia="Calibri" w:hAnsi="Calibri"/>
        <w:b/>
        <w:bCs/>
        <w:color w:val="1F4E79"/>
        <w:sz w:val="17"/>
        <w:szCs w:val="17"/>
      </w:rPr>
      <w:t xml:space="preserve">TADQEEQ</w:t>
    </w:r>
    <w:r>
      <w:rPr>
        <w:rFonts w:ascii="Calibri" w:cs="Calibri" w:eastAsia="Calibri" w:hAnsi="Calibri"/>
        <w:color w:val="808080"/>
        <w:sz w:val="17"/>
        <w:szCs w:val="17"/>
      </w:rPr>
      <w:t xml:space="preserve">	TRD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rPr>
        <w:color w:val="2E75B6"/>
        <w:sz w:val="16"/>
        <w:szCs w:val="16"/>
      </w:rPr>
    </w:lvl>
    <w:lvl w:ilvl="1" w15:tentative="1">
      <w:start w:val="1"/>
      <w:numFmt w:val="bullet"/>
      <w:lvlText w:val="○"/>
      <w:lvlJc w:val="left"/>
      <w:pPr>
        <w:ind w:left="760" w:hanging="200"/>
      </w:pPr>
      <w:rPr>
        <w:color w:val="2E75B6"/>
        <w:sz w:val="16"/>
        <w:szCs w:val="16"/>
      </w:rPr>
    </w:lvl>
    <w:lvl w:ilvl="2" w15:tentative="1">
      <w:start w:val="1"/>
      <w:numFmt w:val="bullet"/>
      <w:lvlText w:val="▪"/>
      <w:lvlJc w:val="left"/>
      <w:pPr>
        <w:ind w:left="1120" w:hanging="200"/>
      </w:pPr>
      <w:rPr>
        <w:color w:val="2E75B6"/>
        <w:sz w:val="16"/>
        <w:szCs w:val="16"/>
      </w:rPr>
    </w:lvl>
  </w:abstractNum>
  <w:abstractNum w:abstractNumId="3" w15:restartNumberingAfterBreak="0">
    <w:multiLevelType w:val="hybridMultilevel"/>
    <w:lvl w:ilvl="0" w15:tentative="1">
      <w:start w:val="1"/>
      <w:numFmt w:val="decimal"/>
      <w:lvlText w:val="%1."/>
      <w:lvlJc w:val="left"/>
      <w:pPr>
        <w:ind w:left="400" w:hanging="220"/>
      </w:pPr>
    </w:lvl>
    <w:lvl w:ilvl="1" w15:tentative="1">
      <w:start w:val="1"/>
      <w:numFmt w:val="lowerLetter"/>
      <w:lvlText w:val="%2."/>
      <w:lvlJc w:val="left"/>
      <w:pPr>
        <w:ind w:left="760" w:hanging="2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TRD — TADQEEQ</dc:title>
  <dc:creator>TADQEEQ Product Team</dc:creator>
  <dc:description>Technical Requirements Document</dc:description>
  <cp:lastModifiedBy>Un-named</cp:lastModifiedBy>
  <cp:revision>1</cp:revision>
  <dcterms:created xsi:type="dcterms:W3CDTF">2026-07-24T20:09:24.041Z</dcterms:created>
  <dcterms:modified xsi:type="dcterms:W3CDTF">2026-07-24T20:09:24.041Z</dcterms:modified>
</cp:coreProperties>
</file>

<file path=docProps/custom.xml><?xml version="1.0" encoding="utf-8"?>
<Properties xmlns="http://schemas.openxmlformats.org/officeDocument/2006/custom-properties" xmlns:vt="http://schemas.openxmlformats.org/officeDocument/2006/docPropsVTypes"/>
</file>