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Technical Requirements Document (TRD) — Version 2.0</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Platform architecture, services, intelligence layer and deployment topologies</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Requirements Document (TRD) — Version 2.0</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 (Platform expansion)</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Head of Engineering with Product Owner</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 pending SRS v2.0 approval</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Introduction</w:t>
      </w:r>
    </w:p>
    <w:p>
      <w:pPr>
        <w:pStyle w:val="Heading2"/>
        <w:spacing w:after="110" w:before="260"/>
      </w:pPr>
      <w:r>
        <w:rPr>
          <w:rFonts w:ascii="Calibri" w:cs="Calibri" w:eastAsia="Calibri" w:hAnsi="Calibri"/>
          <w:b/>
          <w:bCs/>
          <w:color w:val="2E75B6"/>
          <w:sz w:val="25"/>
          <w:szCs w:val="25"/>
        </w:rPr>
        <w:t xml:space="preserve">1.1 Purpose and relationship to TRD v1.0</w:t>
      </w:r>
    </w:p>
    <w:p>
      <w:pPr>
        <w:spacing w:after="120" w:line="276"/>
      </w:pPr>
      <w:r>
        <w:rPr>
          <w:rFonts w:ascii="Calibri" w:cs="Calibri" w:eastAsia="Calibri" w:hAnsi="Calibri"/>
          <w:b w:val="false"/>
          <w:bCs w:val="false"/>
          <w:i w:val="false"/>
          <w:iCs w:val="false"/>
          <w:color w:val="262626"/>
          <w:sz w:val="21"/>
          <w:szCs w:val="21"/>
        </w:rPr>
        <w:t xml:space="preserve">TRD v1.0 specified a modular monolith with a Celery execution worker, sufficient for API testing at pilot scale. This document specifies the architecture for version 2.0: a platform spanning browser and device execution, an intelligence layer with autonomous components, enterprise governance, and three deployment topologies including air-gapped.</w:t>
      </w:r>
    </w:p>
    <w:p>
      <w:pPr>
        <w:spacing w:after="120" w:line="276"/>
      </w:pPr>
      <w:r>
        <w:rPr>
          <w:rFonts w:ascii="Calibri" w:cs="Calibri" w:eastAsia="Calibri" w:hAnsi="Calibri"/>
          <w:b w:val="false"/>
          <w:bCs w:val="false"/>
          <w:i w:val="false"/>
          <w:iCs w:val="false"/>
          <w:color w:val="262626"/>
          <w:sz w:val="21"/>
          <w:szCs w:val="21"/>
        </w:rPr>
        <w:t xml:space="preserve">The v1 architecture is not discarded. The modules defined in TRD v1 section 2.4 become the seed of the v2 service boundaries, and the v1 grounding pipeline becomes a shared platform capability rather than a component of the generator. The change is one of scale and decomposition, not of philosophy.</w:t>
      </w:r>
    </w:p>
    <w:p>
      <w:pPr>
        <w:pStyle w:val="Heading2"/>
        <w:spacing w:after="110" w:before="260"/>
      </w:pPr>
      <w:r>
        <w:rPr>
          <w:rFonts w:ascii="Calibri" w:cs="Calibri" w:eastAsia="Calibri" w:hAnsi="Calibri"/>
          <w:b/>
          <w:bCs/>
          <w:color w:val="2E75B6"/>
          <w:sz w:val="25"/>
          <w:szCs w:val="25"/>
        </w:rPr>
        <w:t xml:space="preserve">1.2 What forces the architecture to change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Force</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Architectural consequence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becomes heterogeneous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calls, browsers, and mobile devices have entirely different resource profiles, failure modes and scaling characteristics. Execution must become a fabric with pluggable runners, not a worker pool.</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Analytics workloads appear</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 dashboards and scorecards query across projects and time. Running them against the transactional store would degrade the product for everyone. A separate read path is required.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Intelligence becomes stateful and continuous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Agents run for minutes, maintain state, and act. This needs orchestration, budgets, cancellation and an audit trail — not a request-response call.</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Modules now change at different rates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UI runner will change weekly; the requirements parser monthly; the identity module rarely. Coupling them in one deployable slows the fast ones to the speed of the slow ones.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Deployment topologies multiply</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Hosted multi-region, in-Kingdom, on-premise and air-gapped. Every external dependency must have a self-hosted substitute, and every capability must degrade explicitly rather than silently.</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Tenancy deepens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Sub-organisations, custom roles and residency mean isolation is no longer a single organisation_id predicate.</w:t>
            </w:r>
          </w:p>
        </w:tc>
      </w:tr>
    </w:tbl>
    <w:p>
      <w:pPr>
        <w:pStyle w:val="Heading2"/>
        <w:spacing w:after="110" w:before="260"/>
      </w:pPr>
      <w:r>
        <w:rPr>
          <w:rFonts w:ascii="Calibri" w:cs="Calibri" w:eastAsia="Calibri" w:hAnsi="Calibri"/>
          <w:b/>
          <w:bCs/>
          <w:color w:val="2E75B6"/>
          <w:sz w:val="25"/>
          <w:szCs w:val="25"/>
        </w:rPr>
        <w:t xml:space="preserve">1.3 Principles carried forward and added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Principle</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Application in v2</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model proposes, the system verifies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Unchanged and extended. UI locators are verified against the screen inventory; copilot answers are verified against cited artefacts; agent proposals enter human review. Verification is a shared service, not a per-feature implementation.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Discovery precedes generation</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Now applies to screens and mobile views as well as endpoints. Nothing is generated against a surface that has not been observed.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Portability is non-negotiable</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dependency must have a self-hostable equivalent, including the model. A capability that cannot run air-gapped must be explicitly declared, not silently absent.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Decompose along rate-of-change boundaries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Services are split where change frequency and scaling profile differ, not to reach a target service count.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Probabilistic output is labelled</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Any value derived from a model carries provenance and confidence through the data model and into the interface. A user must never be unable to tell a measurement from an estimate.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is immutable</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Results, audit entries, agent actions and evidence packs are append-only and checksummed.</w:t>
            </w:r>
          </w:p>
        </w:tc>
      </w:tr>
    </w:tbl>
    <w:p>
      <w:pPr>
        <w:pStyle w:val="Heading1"/>
        <w:pageBreakBefore/>
        <w:spacing w:after="160" w:before="360"/>
      </w:pPr>
      <w:r>
        <w:rPr>
          <w:rFonts w:ascii="Calibri" w:cs="Calibri" w:eastAsia="Calibri" w:hAnsi="Calibri"/>
          <w:b/>
          <w:bCs/>
          <w:color w:val="1F4E79"/>
          <w:sz w:val="30"/>
          <w:szCs w:val="30"/>
        </w:rPr>
        <w:t xml:space="preserve">2. Architecture Overview</w:t>
      </w:r>
    </w:p>
    <w:p>
      <w:pPr>
        <w:pStyle w:val="Heading2"/>
        <w:spacing w:after="110" w:before="260"/>
      </w:pPr>
      <w:r>
        <w:rPr>
          <w:rFonts w:ascii="Calibri" w:cs="Calibri" w:eastAsia="Calibri" w:hAnsi="Calibri"/>
          <w:b/>
          <w:bCs/>
          <w:color w:val="2E75B6"/>
          <w:sz w:val="25"/>
          <w:szCs w:val="25"/>
        </w:rPr>
        <w:t xml:space="preserve">2.1 Target architecture</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Clients: Web app (Next.js) · CLI · SDKs · CI/CD plugins · Webhooks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API Gateway — authn/authz · tenancy resolution · rate limit · routing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        ▼        ▼        ▼        ▼        ▼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│Identity││Project││Require││Discov.││Generat││Lifecyc││ Analytics  │</w:t>
      </w:r>
    </w:p>
    <w:p>
      <w:pPr>
        <w:spacing w:after="20" w:line="240"/>
        <w:ind w:left="260"/>
      </w:pPr>
      <w:r>
        <w:rPr>
          <w:rFonts w:ascii="Consolas" w:cs="Consolas" w:eastAsia="Consolas" w:hAnsi="Consolas"/>
          <w:color w:val="1F3864"/>
          <w:sz w:val="18"/>
          <w:szCs w:val="18"/>
        </w:rPr>
        <w:t xml:space="preserve">│&amp; Gov.  ││&amp; Env. ││-ments ││&amp; Inv. ││-ion   ││-le    ││ &amp; Report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        ▼        ▼        ▼        ▼        ▼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Event Backbone (durable, ordered per tenant)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                ▼                  ▼               ▼</w:t>
      </w:r>
    </w:p>
    <w:p>
      <w:pPr>
        <w:spacing w:after="20" w:line="240"/>
        <w:ind w:left="260"/>
      </w:pPr>
      <w:r>
        <w:rPr>
          <w:rFonts w:ascii="Consolas" w:cs="Consolas" w:eastAsia="Consolas" w:hAnsi="Consolas"/>
          <w:color w:val="1F3864"/>
          <w:sz w:val="18"/>
          <w:szCs w:val="18"/>
        </w:rPr>
        <w:t xml:space="preserve">┌────────────┐ ┌──────────────┐ ┌─────────────┐ ┌──────────────────┐</w:t>
      </w:r>
    </w:p>
    <w:p>
      <w:pPr>
        <w:spacing w:after="20" w:line="240"/>
        <w:ind w:left="260"/>
      </w:pPr>
      <w:r>
        <w:rPr>
          <w:rFonts w:ascii="Consolas" w:cs="Consolas" w:eastAsia="Consolas" w:hAnsi="Consolas"/>
          <w:color w:val="1F3864"/>
          <w:sz w:val="18"/>
          <w:szCs w:val="18"/>
        </w:rPr>
        <w:t xml:space="preserve">│ Execution  │ │ Intelligence │ │ Integration │ │ Extension        │</w:t>
      </w:r>
    </w:p>
    <w:p>
      <w:pPr>
        <w:spacing w:after="20" w:line="240"/>
        <w:ind w:left="260"/>
      </w:pPr>
      <w:r>
        <w:rPr>
          <w:rFonts w:ascii="Consolas" w:cs="Consolas" w:eastAsia="Consolas" w:hAnsi="Consolas"/>
          <w:color w:val="1F3864"/>
          <w:sz w:val="18"/>
          <w:szCs w:val="18"/>
        </w:rPr>
        <w:t xml:space="preserve">│ Fabric     │ │ Services     │ │ Hub         │ │ Runtime (sandbox)│</w:t>
      </w:r>
    </w:p>
    <w:p>
      <w:pPr>
        <w:spacing w:after="20" w:line="240"/>
        <w:ind w:left="260"/>
      </w:pPr>
      <w:r>
        <w:rPr>
          <w:rFonts w:ascii="Consolas" w:cs="Consolas" w:eastAsia="Consolas" w:hAnsi="Consolas"/>
          <w:color w:val="1F3864"/>
          <w:sz w:val="18"/>
          <w:szCs w:val="18"/>
        </w:rPr>
        <w:t xml:space="preserve">└─────┬──────┘ └──────┬───────┘ └──────┬──────┘ └──────────────────┘</w:t>
      </w:r>
    </w:p>
    <w:p>
      <w:pPr>
        <w:spacing w:after="20" w:line="240"/>
        <w:ind w:left="260"/>
      </w:pPr>
      <w:r>
        <w:rPr>
          <w:rFonts w:ascii="Consolas" w:cs="Consolas" w:eastAsia="Consolas" w:hAnsi="Consolas"/>
          <w:color w:val="1F3864"/>
          <w:sz w:val="18"/>
          <w:szCs w:val="18"/>
        </w:rPr>
        <w:t xml:space="preserve">      ▼               ▼                ▼</w:t>
      </w:r>
    </w:p>
    <w:p>
      <w:pPr>
        <w:spacing w:after="20" w:line="240"/>
        <w:ind w:left="260"/>
      </w:pPr>
      <w:r>
        <w:rPr>
          <w:rFonts w:ascii="Consolas" w:cs="Consolas" w:eastAsia="Consolas" w:hAnsi="Consolas"/>
          <w:color w:val="1F3864"/>
          <w:sz w:val="18"/>
          <w:szCs w:val="18"/>
        </w:rPr>
        <w:t xml:space="preserve">  API runner     Copilot / RAG     Jira · ADO · Git</w:t>
      </w:r>
    </w:p>
    <w:p>
      <w:pPr>
        <w:spacing w:after="20" w:line="240"/>
        <w:ind w:left="260"/>
      </w:pPr>
      <w:r>
        <w:rPr>
          <w:rFonts w:ascii="Consolas" w:cs="Consolas" w:eastAsia="Consolas" w:hAnsi="Consolas"/>
          <w:color w:val="1F3864"/>
          <w:sz w:val="18"/>
          <w:szCs w:val="18"/>
        </w:rPr>
        <w:t xml:space="preserve">  Browser grid   Agent orchestr.   Slack · Teams</w:t>
      </w:r>
    </w:p>
    <w:p>
      <w:pPr>
        <w:spacing w:after="20" w:line="240"/>
        <w:ind w:left="260"/>
      </w:pPr>
      <w:r>
        <w:rPr>
          <w:rFonts w:ascii="Consolas" w:cs="Consolas" w:eastAsia="Consolas" w:hAnsi="Consolas"/>
          <w:color w:val="1F3864"/>
          <w:sz w:val="18"/>
          <w:szCs w:val="18"/>
        </w:rPr>
        <w:t xml:space="preserve">  Device farm    Healing engine    Identity providers</w:t>
      </w:r>
    </w:p>
    <w:p>
      <w:pPr>
        <w:spacing w:after="20" w:line="240"/>
        <w:ind w:left="260"/>
      </w:pPr>
      <w:r>
        <w:rPr>
          <w:rFonts w:ascii="Consolas" w:cs="Consolas" w:eastAsia="Consolas" w:hAnsi="Consolas"/>
          <w:color w:val="1F3864"/>
          <w:sz w:val="18"/>
          <w:szCs w:val="18"/>
        </w:rPr>
        <w:t xml:space="preserve">  Virtual svcs   Risk · RCA</w:t>
      </w:r>
    </w:p>
    <w:p>
      <w:pPr>
        <w:spacing w:after="20" w:line="240"/>
        <w:ind w:left="260"/>
      </w:pPr>
      <w:r>
        <w:rPr>
          <w:rFonts w:ascii="Consolas" w:cs="Consolas" w:eastAsia="Consolas" w:hAnsi="Consolas"/>
          <w:color w:val="1F3864"/>
          <w:sz w:val="18"/>
          <w:szCs w:val="18"/>
        </w:rPr>
        <w:t xml:space="preserve"/>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Data Platform: PostgreSQL (OLTP) · Analytical store · Object storage  │</w:t>
      </w:r>
    </w:p>
    <w:p>
      <w:pPr>
        <w:spacing w:after="20" w:line="240"/>
        <w:ind w:left="260"/>
      </w:pPr>
      <w:r>
        <w:rPr>
          <w:rFonts w:ascii="Consolas" w:cs="Consolas" w:eastAsia="Consolas" w:hAnsi="Consolas"/>
          <w:color w:val="1F3864"/>
          <w:sz w:val="18"/>
          <w:szCs w:val="18"/>
        </w:rPr>
        <w:t xml:space="preserve">│ Search &amp; vector index · Event log · Secret store                      │</w:t>
      </w:r>
    </w:p>
    <w:p>
      <w:pPr>
        <w:spacing w:after="20" w:line="240"/>
        <w:ind w:left="260"/>
      </w:pPr>
      <w:r>
        <w:rPr>
          <w:rFonts w:ascii="Consolas" w:cs="Consolas" w:eastAsia="Consolas" w:hAnsi="Consolas"/>
          <w:color w:val="1F3864"/>
          <w:sz w:val="18"/>
          <w:szCs w:val="18"/>
        </w:rPr>
        <w:t xml:space="preserve">└──────────────────────────────────────────────────────────────────────┘</w:t>
      </w:r>
    </w:p>
    <w:p>
      <w:pPr>
        <w:spacing w:after="160"/>
      </w:pPr>
      <w:r>
        <w:t xml:space="preserve"/>
      </w:r>
    </w:p>
    <w:p>
      <w:pPr>
        <w:pStyle w:val="Heading2"/>
        <w:spacing w:after="110" w:before="260"/>
      </w:pPr>
      <w:r>
        <w:rPr>
          <w:rFonts w:ascii="Calibri" w:cs="Calibri" w:eastAsia="Calibri" w:hAnsi="Calibri"/>
          <w:b/>
          <w:bCs/>
          <w:color w:val="2E75B6"/>
          <w:sz w:val="25"/>
          <w:szCs w:val="25"/>
        </w:rPr>
        <w:t xml:space="preserve">2.2 Service inventory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10"/>
        <w:gridCol w:w="3900"/>
        <w:gridCol w:w="1950"/>
        <w:gridCol w:w="1300"/>
      </w:tblGrid>
      <w:tr>
        <w:trPr>
          <w:tblHeader/>
        </w:trPr>
        <w:tc>
          <w:tcPr>
            <w:tcW w:type="dxa" w:w="22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Service</w:t>
            </w:r>
          </w:p>
        </w:tc>
        <w:tc>
          <w:tcPr>
            <w:tcW w:type="dxa" w:w="39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Responsibility</w:t>
            </w:r>
          </w:p>
        </w:tc>
        <w:tc>
          <w:tcPr>
            <w:tcW w:type="dxa" w:w="195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Scaling driver</w:t>
            </w:r>
          </w:p>
        </w:tc>
        <w:tc>
          <w:tcPr>
            <w:tcW w:type="dxa" w:w="13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Train</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Identity &amp; Governance</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Users, organisations, sub-organisations, SSO, SCIM, custom roles, audit, retention, templates.</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User count</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Project &amp; Environment</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Projects, environments, secrets, variables, health, booking.</w:t>
            </w:r>
          </w:p>
        </w:tc>
        <w:tc>
          <w:tcPr>
            <w:tcW w:type="dxa" w:w="195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Project count</w:t>
            </w:r>
          </w:p>
        </w:tc>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Requirements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Ingestion, parsing, versioning, live source sync, hierarchy, change impact.</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Document volume</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Discovery &amp; Inventory</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API specifications, traffic capture, UI crawl, mobile exploration, inventory reconciliation.</w:t>
            </w:r>
          </w:p>
        </w:tc>
        <w:tc>
          <w:tcPr>
            <w:tcW w:type="dxa" w:w="195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Application size</w:t>
            </w:r>
          </w:p>
        </w:tc>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Generation</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Mapping, test condition derivation, generation, grounding validation.</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Inference volume</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Lifecycle</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Test cases, review, cycles, releases, gates, defects, evidence packs.</w:t>
            </w:r>
          </w:p>
        </w:tc>
        <w:tc>
          <w:tcPr>
            <w:tcW w:type="dxa" w:w="195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Artefact count</w:t>
            </w:r>
          </w:p>
        </w:tc>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Execution Fabric</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Run orchestration and pluggable runners for API, browser, device and virtual services.</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Concurrent runs</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Intelligence</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Copilot, agents, healing, risk, root cause, flakiness.</w:t>
            </w:r>
          </w:p>
        </w:tc>
        <w:tc>
          <w:tcPr>
            <w:tcW w:type="dxa" w:w="195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Inference and agent hours</w:t>
            </w:r>
          </w:p>
        </w:tc>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2.1</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Analytics &amp; Reporting</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Metrics computation, dashboards, scorecards, exports.</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Query volume and history depth</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2.1</w:t>
            </w:r>
          </w:p>
        </w:tc>
      </w:tr>
      <w:tr>
        <w:tc>
          <w:tcPr>
            <w:tcW w:type="dxa" w:w="22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Integration Hub</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Issue trackers, source control, chat, identity, webhooks, event stream.</w:t>
            </w:r>
          </w:p>
        </w:tc>
        <w:tc>
          <w:tcPr>
            <w:tcW w:type="dxa" w:w="195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Sync volume</w:t>
            </w:r>
          </w:p>
        </w:tc>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2.0</w:t>
            </w:r>
          </w:p>
        </w:tc>
      </w:tr>
      <w:tr>
        <w:tc>
          <w:tcPr>
            <w:tcW w:type="dxa" w:w="22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Extension Runtime</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Sandboxed execution of third-party extensions.</w:t>
            </w:r>
          </w:p>
        </w:tc>
        <w:tc>
          <w:tcPr>
            <w:tcW w:type="dxa" w:w="195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Extension usage</w:t>
            </w:r>
          </w:p>
        </w:tc>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2.3</w:t>
            </w:r>
          </w:p>
        </w:tc>
      </w:tr>
    </w:tbl>
    <w:p>
      <w:pPr>
        <w:pStyle w:val="Heading2"/>
        <w:spacing w:after="110" w:before="260"/>
      </w:pPr>
      <w:r>
        <w:rPr>
          <w:rFonts w:ascii="Calibri" w:cs="Calibri" w:eastAsia="Calibri" w:hAnsi="Calibri"/>
          <w:b/>
          <w:bCs/>
          <w:color w:val="2E75B6"/>
          <w:sz w:val="25"/>
          <w:szCs w:val="25"/>
        </w:rPr>
        <w:t xml:space="preserve">2.3 Decomposition strategy</w:t>
      </w:r>
    </w:p>
    <w:p>
      <w:pPr>
        <w:spacing w:after="120" w:line="276"/>
      </w:pPr>
      <w:r>
        <w:rPr>
          <w:rFonts w:ascii="Calibri" w:cs="Calibri" w:eastAsia="Calibri" w:hAnsi="Calibri"/>
          <w:b w:val="false"/>
          <w:bCs w:val="false"/>
          <w:i w:val="false"/>
          <w:iCs w:val="false"/>
          <w:color w:val="262626"/>
          <w:sz w:val="21"/>
          <w:szCs w:val="21"/>
        </w:rPr>
        <w:t xml:space="preserve">The v1 monolith is not rewritten. It is split in the order that pain appears: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Execution Fabric extracts first, in train 2.0 — it has the most divergent scaling profile and the highest failure rate.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Intelligence extracts second, in train 2.1 — it has long-running stateful work, distinct cost characteristics and an independent release cadence driven by evaluation results.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Analytics extracts third, in train 2.1 — it needs a separate read path and would otherwise degrade transactional performance.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Integration Hub extracts fourth, in train 2.0 to 2.1 — it fails in ways that must not affect the platform, and it is written by different people at a different rate.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remainder — identity, projects, requirements, discovery, generation, lifecycle — stays as one deployable for as long as it can. Splitting it further buys nothing and costs operational overhead the team does not have.</w:t>
      </w:r>
    </w:p>
    <w:p>
      <w:pPr>
        <w:spacing w:after="120" w:line="276"/>
      </w:pPr>
      <w:r>
        <w:rPr>
          <w:rFonts w:ascii="Calibri" w:cs="Calibri" w:eastAsia="Calibri" w:hAnsi="Calibri"/>
          <w:b w:val="false"/>
          <w:bCs w:val="false"/>
          <w:i/>
          <w:iCs/>
          <w:color w:val="262626"/>
          <w:sz w:val="21"/>
          <w:szCs w:val="21"/>
        </w:rPr>
        <w:t xml:space="preserve">This is a deliberate rejection of a full microservices decomposition. The team size in BRD v2 section 16 does not support eleven independently operated services; it supports four to five deployables with clear internal module boundaries.</w:t>
      </w:r>
    </w:p>
    <w:p>
      <w:pPr>
        <w:pStyle w:val="Heading2"/>
        <w:spacing w:after="110" w:before="260"/>
      </w:pPr>
      <w:r>
        <w:rPr>
          <w:rFonts w:ascii="Calibri" w:cs="Calibri" w:eastAsia="Calibri" w:hAnsi="Calibri"/>
          <w:b/>
          <w:bCs/>
          <w:color w:val="2E75B6"/>
          <w:sz w:val="25"/>
          <w:szCs w:val="25"/>
        </w:rPr>
        <w:t xml:space="preserve">2.4 Event backbone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Purpose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Decouple producers from consumers, give analytics and intelligence an authoritative change feed, and make the audit trail a by-product rather than a parallel implementation.</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Guarantees</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Durable, at-least-once delivery, ordered within a tenant partition. Consumers are idempotent by event identifier.</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Principal events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requirement.changed · inventory.updated · testcase.approved · run.completed · result.recorded · defect.created · defect.synced · gate.evaluated · release.readiness_changed · locator.healed · test.quarantined · agent.action · copilot.exchange · evidence.generated</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Schema governance</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event has a versioned schema in a registry. Producers may add optional fields; removing or retyping a field requires a new version with a documented transition.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Payload rule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Events carry identifiers and metadata, never customer content. A consumer that needs content fetches it under the requesting principal’s permissions.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Implementation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durable log with per-tenant partitioning. Self-hostable, since air-gapped deployment must carry the same backbone.</w:t>
            </w:r>
          </w:p>
        </w:tc>
      </w:tr>
    </w:tbl>
    <w:p>
      <w:pPr>
        <w:pStyle w:val="Heading1"/>
        <w:pageBreakBefore/>
        <w:spacing w:after="160" w:before="360"/>
      </w:pPr>
      <w:r>
        <w:rPr>
          <w:rFonts w:ascii="Calibri" w:cs="Calibri" w:eastAsia="Calibri" w:hAnsi="Calibri"/>
          <w:b/>
          <w:bCs/>
          <w:color w:val="1F4E79"/>
          <w:sz w:val="30"/>
          <w:szCs w:val="30"/>
        </w:rPr>
        <w:t xml:space="preserve">3. Execution Fabric</w:t>
      </w:r>
    </w:p>
    <w:p>
      <w:pPr>
        <w:pStyle w:val="Heading2"/>
        <w:spacing w:after="110" w:before="260"/>
      </w:pPr>
      <w:r>
        <w:rPr>
          <w:rFonts w:ascii="Calibri" w:cs="Calibri" w:eastAsia="Calibri" w:hAnsi="Calibri"/>
          <w:b/>
          <w:bCs/>
          <w:color w:val="2E75B6"/>
          <w:sz w:val="25"/>
          <w:szCs w:val="25"/>
        </w:rPr>
        <w:t xml:space="preserve">3.1 Design</w:t>
      </w:r>
    </w:p>
    <w:p>
      <w:pPr>
        <w:spacing w:after="120" w:line="276"/>
      </w:pPr>
      <w:r>
        <w:rPr>
          <w:rFonts w:ascii="Calibri" w:cs="Calibri" w:eastAsia="Calibri" w:hAnsi="Calibri"/>
          <w:b w:val="false"/>
          <w:bCs w:val="false"/>
          <w:i w:val="false"/>
          <w:iCs w:val="false"/>
          <w:color w:val="262626"/>
          <w:sz w:val="21"/>
          <w:szCs w:val="21"/>
        </w:rPr>
        <w:t xml:space="preserve">One orchestrator, many runners. The orchestrator owns scheduling, concurrency, evidence collection and result recording; it knows nothing about how a given test type executes. Adding mobile in train 2.2 or a new protocol in train 2.2 is a new runner, not a change to orchestration.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3744"/>
        <w:gridCol w:w="3343"/>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Runner</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Implementation</w:t>
            </w:r>
          </w:p>
        </w:tc>
        <w:tc>
          <w:tcPr>
            <w:tcW w:type="dxa" w:w="334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Notes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runner</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Async HTTP client, carried forward from v1.</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Extended with GraphQL, SOAP and gRPC adapters sharing the same assertion model.</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runner</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Playwright in isolated containers on a managed grid.</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browser context per test case. Video, DOM snapshot, console and network trace captured per step.</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Device runner</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Appium against virtual devices and a physical device farm.</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Farm may be a partner service or a customer-hosted rack; the abstraction is the same.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Virtual service runner</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Request-matching simulator for recorded or defined dependencies.</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Started per cycle, routed to by environment configuration.</w:t>
            </w:r>
          </w:p>
        </w:tc>
      </w:tr>
    </w:tbl>
    <w:p>
      <w:pPr>
        <w:pStyle w:val="Heading2"/>
        <w:spacing w:after="110" w:before="260"/>
      </w:pPr>
      <w:r>
        <w:rPr>
          <w:rFonts w:ascii="Calibri" w:cs="Calibri" w:eastAsia="Calibri" w:hAnsi="Calibri"/>
          <w:b/>
          <w:bCs/>
          <w:color w:val="2E75B6"/>
          <w:sz w:val="25"/>
          <w:szCs w:val="25"/>
        </w:rPr>
        <w:t xml:space="preserve">3.2 Orchestration</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 run fans out to per-case tasks with concurrency limits enforced at three levels: per environment (protects the customer system), per organisation (protects cost), and per grid (protects the platform).</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Case dependencies within a cycle form a directed graph; dependants of a failed prerequisite are marked skipped rather than failed, so the report is not polluted by cascade noise.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Runs are resumable. Case-level checkpoints mean an infrastructure failure re-executes only incomplete cases (SRS NFR-REL-205).</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Retry policy is per cycle and every attempt is recorded, because "passed on the third attempt" is the raw signal the flakiness analyser consumes.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 production-marked environment rejects execution unless explicitly enabled, and destructive operations require an allow-list entry (SRS FR-EXE-25).</w:t>
      </w:r>
    </w:p>
    <w:p>
      <w:pPr>
        <w:pStyle w:val="Heading2"/>
        <w:spacing w:after="110" w:before="260"/>
      </w:pPr>
      <w:r>
        <w:rPr>
          <w:rFonts w:ascii="Calibri" w:cs="Calibri" w:eastAsia="Calibri" w:hAnsi="Calibri"/>
          <w:b/>
          <w:bCs/>
          <w:color w:val="2E75B6"/>
          <w:sz w:val="25"/>
          <w:szCs w:val="25"/>
        </w:rPr>
        <w:t xml:space="preserve">3.3 Grid management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Concern</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Approach</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Elasticity</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workers scale on queue depth with a warm pool sized to the median load, since cold browser start is the dominant latency component.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Isolation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container per test case, destroyed after use. No state, cache or credential survives between cases.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Egress control</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Workers reach only allow-listed hosts for the environment under test. This is the control that makes browser execution acceptable to a security reviewer.</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volume</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Video is captured always, retained only for failures and for a configurable sample of passes. Screenshots and DOM snapshots are retained per policy. Evidence is the fastest-growing data class in v2 and is budgeted explicitly.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Self-hosted parity</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grid ships as part of the on-premise package. The orchestrator addresses a hosted and a self-hosted grid identically.</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Cost attribution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minutes, device minutes and storage are metered per organisation and project at the point of consumption (SRS NFR-MNT-202).</w:t>
            </w:r>
          </w:p>
        </w:tc>
      </w:tr>
    </w:tbl>
    <w:p>
      <w:pPr>
        <w:pStyle w:val="Heading1"/>
        <w:pageBreakBefore/>
        <w:spacing w:after="160" w:before="360"/>
      </w:pPr>
      <w:r>
        <w:rPr>
          <w:rFonts w:ascii="Calibri" w:cs="Calibri" w:eastAsia="Calibri" w:hAnsi="Calibri"/>
          <w:b/>
          <w:bCs/>
          <w:color w:val="1F4E79"/>
          <w:sz w:val="30"/>
          <w:szCs w:val="30"/>
        </w:rPr>
        <w:t xml:space="preserve">4. Discovery Services</w:t>
      </w:r>
    </w:p>
    <w:p>
      <w:pPr>
        <w:pStyle w:val="Heading2"/>
        <w:spacing w:after="110" w:before="260"/>
      </w:pPr>
      <w:r>
        <w:rPr>
          <w:rFonts w:ascii="Calibri" w:cs="Calibri" w:eastAsia="Calibri" w:hAnsi="Calibri"/>
          <w:b/>
          <w:bCs/>
          <w:color w:val="2E75B6"/>
          <w:sz w:val="25"/>
          <w:szCs w:val="25"/>
        </w:rPr>
        <w:t xml:space="preserve">4.1 Traffic-based API discovery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Capture modes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recording proxy with a trusted certificate; an uploaded HAR file; and a browser-driven session in which the platform drives the application and records requests directly. The third mode avoids customer certificate installation and is the default.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Redaction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redaction stage runs before persistence, not before display. Authorisation headers, cookies, tokens and detected personal data are removed from the stored capture. There is no code path that writes an unredacted capture to disk.</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Inference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Concrete paths are clustered into parameterised templates by segment variance analysis. Body schemas are inferred from observed payloads with type union and optionality derived from observation frequency.</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Confidence</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inferred element carries an observation count. Low-observation elements are marked and sorted to the top of the confirmation queue, because inference from three samples is not the same as inference from three hundred.</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Provenance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Traffic-derived and specification-derived elements are distinguishable everywhere in the model and the interface. They are never silently merged.</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Reconciliation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Where both sources exist, differences are reported: operations in the specification never observed, and operations observed but undocumented. This is itself a finding customers value.</w:t>
            </w:r>
          </w:p>
        </w:tc>
      </w:tr>
    </w:tbl>
    <w:p>
      <w:pPr>
        <w:pStyle w:val="Heading2"/>
        <w:spacing w:after="110" w:before="260"/>
      </w:pPr>
      <w:r>
        <w:rPr>
          <w:rFonts w:ascii="Calibri" w:cs="Calibri" w:eastAsia="Calibri" w:hAnsi="Calibri"/>
          <w:b/>
          <w:bCs/>
          <w:color w:val="2E75B6"/>
          <w:sz w:val="25"/>
          <w:szCs w:val="25"/>
        </w:rPr>
        <w:t xml:space="preserve">4.2 UI discovery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Crawl</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headless browser authenticates and traverses the application breadth-first from a start URL, respecting a configured boundary of hosts, path patterns and permitted interactions.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Screen identity</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Screens are identified by normalised route plus a structural fingerprint, so that the same screen with different data is one screen and a genuinely different state is not collapsed into it.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Element capture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 every interactive element the crawler captures the full signal set: test identifier, accessible role and name, label association, visible text, structural path, sibling context, and bounding geometry. This signal set is the foundation of both generation and healing.</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Validation extraction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Client-side constraints — required, type, pattern, min and max, length — are extracted from the DOM and reconciled with the corresponding API schema where one exists. These become the boundary and partition inputs for generation.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Safety</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Destructive interactions are not exercised during discovery unless allow-listed. The crawler has a budget in time and actions and reports what it could not reach rather than implying completeness.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Incremental re-crawl</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Subsequent crawls diff against the previous inventory version, producing added, changed and removed screens and elements — the input to both staleness detection and bulk healing.</w:t>
            </w:r>
          </w:p>
        </w:tc>
      </w:tr>
    </w:tbl>
    <w:p>
      <w:pPr>
        <w:pStyle w:val="Heading2"/>
        <w:spacing w:after="110" w:before="260"/>
      </w:pPr>
      <w:r>
        <w:rPr>
          <w:rFonts w:ascii="Calibri" w:cs="Calibri" w:eastAsia="Calibri" w:hAnsi="Calibri"/>
          <w:b/>
          <w:bCs/>
          <w:color w:val="2E75B6"/>
          <w:sz w:val="25"/>
          <w:szCs w:val="25"/>
        </w:rPr>
        <w:t xml:space="preserve">4.3 Mobile exploration</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Guided exploration under authentication on a virtual or physical device, capturing the view hierarchy rather than a DOM.</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element signal set is the platform equivalent of the web one: accessibility identifier, accessibility label, class, text, hierarchy path and geometry.</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generation, healing and traceability pipelines are shared with web; only the runner and the signal extraction differ. This is why mobile is a train 2.2 addition rather than a parallel product.</w:t>
      </w:r>
    </w:p>
    <w:p>
      <w:pPr>
        <w:pStyle w:val="Heading1"/>
        <w:pageBreakBefore/>
        <w:spacing w:after="160" w:before="360"/>
      </w:pPr>
      <w:r>
        <w:rPr>
          <w:rFonts w:ascii="Calibri" w:cs="Calibri" w:eastAsia="Calibri" w:hAnsi="Calibri"/>
          <w:b/>
          <w:bCs/>
          <w:color w:val="1F4E79"/>
          <w:sz w:val="30"/>
          <w:szCs w:val="30"/>
        </w:rPr>
        <w:t xml:space="preserve">5. Intelligence Layer</w:t>
      </w:r>
    </w:p>
    <w:p>
      <w:pPr>
        <w:pStyle w:val="Heading2"/>
        <w:spacing w:after="110" w:before="260"/>
      </w:pPr>
      <w:r>
        <w:rPr>
          <w:rFonts w:ascii="Calibri" w:cs="Calibri" w:eastAsia="Calibri" w:hAnsi="Calibri"/>
          <w:b/>
          <w:bCs/>
          <w:color w:val="2E75B6"/>
          <w:sz w:val="25"/>
          <w:szCs w:val="25"/>
        </w:rPr>
        <w:t xml:space="preserve">5.1 Structure</w:t>
      </w:r>
    </w:p>
    <w:p>
      <w:pPr>
        <w:spacing w:after="120" w:line="276"/>
      </w:pPr>
      <w:r>
        <w:rPr>
          <w:rFonts w:ascii="Calibri" w:cs="Calibri" w:eastAsia="Calibri" w:hAnsi="Calibri"/>
          <w:b w:val="false"/>
          <w:bCs w:val="false"/>
          <w:i w:val="false"/>
          <w:iCs w:val="false"/>
          <w:color w:val="262626"/>
          <w:sz w:val="21"/>
          <w:szCs w:val="21"/>
        </w:rPr>
        <w:t xml:space="preserve">The intelligence layer is a separate service with its own release cadence, gated on evaluation results rather than on feature completion. It contains six components that share one model abstraction, one grounding service and one action audit.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3477"/>
        <w:gridCol w:w="3476"/>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Component</w:t>
            </w:r>
          </w:p>
        </w:tc>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Function</w:t>
            </w:r>
          </w:p>
        </w:tc>
        <w:tc>
          <w:tcPr>
            <w:tcW w:type="dxa" w:w="347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Failure mode it must not have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Grounding Service</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Shared validation of every model-derived artefact against discovered reality.</w:t>
            </w:r>
          </w:p>
        </w:tc>
        <w:tc>
          <w:tcPr>
            <w:tcW w:type="dxa" w:w="34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Silently passing an artefact that references something that does not exist.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Healing Engine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Locator repair from multi-signal agreement.</w:t>
            </w:r>
          </w:p>
        </w:tc>
        <w:tc>
          <w:tcPr>
            <w:tcW w:type="dxa" w:w="34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Binding to the wrong element and turning a real failure into a false pass.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Retrieval-grounded question answering over the project graph.</w:t>
            </w:r>
          </w:p>
        </w:tc>
        <w:tc>
          <w:tcPr>
            <w:tcW w:type="dxa" w:w="34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Asserting a confident, uncited, wrong statement about coverage.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Agent Orchestrator</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Long-running exploratory and maintenance agents.</w:t>
            </w:r>
          </w:p>
        </w:tc>
        <w:tc>
          <w:tcPr>
            <w:tcW w:type="dxa" w:w="34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Taking an unrecorded, irreversible or out-of-scope action.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 Engine</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Change impact, test selection, risk scoring.</w:t>
            </w:r>
          </w:p>
        </w:tc>
        <w:tc>
          <w:tcPr>
            <w:tcW w:type="dxa" w:w="34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Omitting a test that would have caught a regression, without anyone knowing.</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RCA Engine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Failure grouping, correlation and cause hypotheses.</w:t>
            </w:r>
          </w:p>
        </w:tc>
        <w:tc>
          <w:tcPr>
            <w:tcW w:type="dxa" w:w="34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Presenting a hypothesis as a fact and closing a real defect as environmental.</w:t>
            </w:r>
          </w:p>
        </w:tc>
      </w:tr>
    </w:tbl>
    <w:p>
      <w:pPr>
        <w:spacing w:after="120" w:line="276"/>
      </w:pPr>
      <w:r>
        <w:rPr>
          <w:rFonts w:ascii="Calibri" w:cs="Calibri" w:eastAsia="Calibri" w:hAnsi="Calibri"/>
          <w:b w:val="false"/>
          <w:bCs w:val="false"/>
          <w:i/>
          <w:iCs/>
          <w:color w:val="262626"/>
          <w:sz w:val="21"/>
          <w:szCs w:val="21"/>
        </w:rPr>
        <w:t xml:space="preserve">Each component is specified below by its inputs, its guardrail, and the metric that gates its release. The metric matters more than the design: these are the only components in the system that can be wrong in a way a user cannot immediately see.</w:t>
      </w:r>
    </w:p>
    <w:p>
      <w:pPr>
        <w:pStyle w:val="Heading2"/>
        <w:spacing w:after="110" w:before="260"/>
      </w:pPr>
      <w:r>
        <w:rPr>
          <w:rFonts w:ascii="Calibri" w:cs="Calibri" w:eastAsia="Calibri" w:hAnsi="Calibri"/>
          <w:b/>
          <w:bCs/>
          <w:color w:val="2E75B6"/>
          <w:sz w:val="25"/>
          <w:szCs w:val="25"/>
        </w:rPr>
        <w:t xml:space="preserve">5.2 Healing Engine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Trigger</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locator fails to resolve, or resolves to multiple candidates, during execution.</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Method</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Candidate elements in the current DOM are scored against the stored signal set. Each signal — test identifier, accessible role and name, text, structural path, geometry, neighbour context — contributes weighted agreement. Signals are weighted by historical stability, not equally: a test identifier match is worth far more than a positional match.</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Threshold</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repair is applied only above a configurable confidence threshold with agreement from at least two independent signal families. Below the threshold the step fails and is reported as a locator failure. Failing loudly is always preferred to healing wrongly.</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Constraint</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Healing changes the locator only. Assertions, inputs and expected results are never modified (SRS CON-203). This is enforced structurally: the healing path has no write access to the assertion fields.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Audit</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Original locator, replacement, contributing signals, score, and before-and-after screenshots are persisted as a LocatorRepair record, reviewable and individually reversible.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Bulk detection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Repairs sharing a transformation pattern across many cases are clustered and proposed once. A framework upgrade that changes every class name should generate one review item, not four hundred.</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Release gate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False-repair rate below 0.5% against a labelled evaluation set of real interface changes (SRS NFR-REL-207).</w:t>
            </w:r>
          </w:p>
        </w:tc>
      </w:tr>
    </w:tbl>
    <w:p>
      <w:pPr>
        <w:pStyle w:val="Heading2"/>
        <w:spacing w:after="110" w:before="260"/>
      </w:pPr>
      <w:r>
        <w:rPr>
          <w:rFonts w:ascii="Calibri" w:cs="Calibri" w:eastAsia="Calibri" w:hAnsi="Calibri"/>
          <w:b/>
          <w:bCs/>
          <w:color w:val="2E75B6"/>
          <w:sz w:val="25"/>
          <w:szCs w:val="25"/>
        </w:rPr>
        <w:t xml:space="preserve">5.3 QA Copilot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Retrieval</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Hybrid retrieval over the project graph: structured queries for anything countable (coverage, pass rates, defect counts, gap lists) and semantic search only for unstructured text such as requirement bodies and defect descriptions.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The critical design decision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Quantitative answers are computed by query, never by a model reading rows and summarising them. "How many requirements are uncovered" is a SQL result the model is given, not an inference it makes. This single choice removes the largest class of confidently wrong answers.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Authorisation</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Retrieval executes under the asking user’s principal. The model never sees data the user could not open directly. Permission is enforced at the query layer, never by instruction to the model.</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Citation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assertion is bound to the artefact identifiers that produced it and is rendered as a navigable link. An answer that cannot be cited is not returned.</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Refusal</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When retrieval returns insufficient support, the copilot states that it does not have the information. Refusal is a correct outcome, and the evaluation set contains unanswerable questions specifically to measure it.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Drafting</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copilot may draft test cases, defect text or cycle scopes. Drafts enter the standard review queue as Draft artefacts and pass through the same grounding validation as generated content.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Isolation from decisions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copilot output feeds a gate, a selection or an approval. It informs humans; it does not act (SRS FR-CPL-08).</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Release gate</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Zero uncited assertions across the grounding evaluation suite, in Arabic and English (SRS NFR-REL-210).</w:t>
            </w:r>
          </w:p>
        </w:tc>
      </w:tr>
    </w:tbl>
    <w:p>
      <w:pPr>
        <w:pStyle w:val="Heading2"/>
        <w:spacing w:after="110" w:before="260"/>
      </w:pPr>
      <w:r>
        <w:rPr>
          <w:rFonts w:ascii="Calibri" w:cs="Calibri" w:eastAsia="Calibri" w:hAnsi="Calibri"/>
          <w:b/>
          <w:bCs/>
          <w:color w:val="2E75B6"/>
          <w:sz w:val="25"/>
          <w:szCs w:val="25"/>
        </w:rPr>
        <w:t xml:space="preserve">5.4 Agent Orchestrator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Execution model</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agent is a long-running, checkpointed session with an explicit budget in wall-clock time, actions and inference cost. It runs against the same execution fabric as tests, under the same environment controls.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Boundary enforcement</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Permitted hosts, paths, actions and data are declared before the session starts and enforced by the runner, not by prompt instruction. An agent cannot exceed its boundary even if its reasoning suggests it should.</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Destructive operations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Blocked unless individually allow-listed for the environment. Production environments are excluded by default (SRS CON-206).</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Output model</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agent output is a proposal: a draft test case, a proposed repair, a reported anomaly. Nothing an agent produces modifies an approved artefact (SRS FR-AGT-12).</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Accountability</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action is written to an immutable AgentAction record with agent identity, trigger, inputs considered, action taken, outcome, and a reversal reference where the action was applied.</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Permissions</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agent runs under the permissions of the user who started it, never elevated (SRS NFR-SEC-207).</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Cost control</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Budgets are hard limits. An agent that exhausts its budget stops and reports what it did not reach, rather than continuing and producing an unbounded bill.</w:t>
            </w:r>
          </w:p>
        </w:tc>
      </w:tr>
    </w:tbl>
    <w:p>
      <w:pPr>
        <w:pStyle w:val="Heading2"/>
        <w:spacing w:after="110" w:before="260"/>
      </w:pPr>
      <w:r>
        <w:rPr>
          <w:rFonts w:ascii="Calibri" w:cs="Calibri" w:eastAsia="Calibri" w:hAnsi="Calibri"/>
          <w:b/>
          <w:bCs/>
          <w:color w:val="2E75B6"/>
          <w:sz w:val="25"/>
          <w:szCs w:val="25"/>
        </w:rPr>
        <w:t xml:space="preserve">5.5 Risk Engine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Inputs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Change sets from source control; requirement-to-code links, whether declared or inferred; historical defect-to-module correlation; observed execution coverage from instrumented runs where available.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Impact model</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layered approach rather than a single technique: direct file-to-requirement links first, dependency-graph reachability second, historical co-change correlation third. Each layer contributes a confidence, and the union is the impacted set.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Selection</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impacted set is ranked by risk score and cut at the configured risk appetite. Tests linked to critical requirements are always included regardless of computed impact (SRS FR-RSK-04).</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Safety net</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scheduled full-suite run is mandatory and cannot be disabled by configuration. Any regression the full run catches that selection omitted is recorded as a selection miss and reported to the customer.</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Transparency</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Selection accuracy is a published per-organisation metric, not an internal one. A customer trusting a subset of their suite has a right to know how often that trust was misplaced.</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Release gate</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Miss rate below 2% across at least 100 real change sets (SRS NFR-REL-208).</w:t>
            </w:r>
          </w:p>
        </w:tc>
      </w:tr>
    </w:tbl>
    <w:p>
      <w:pPr>
        <w:pStyle w:val="Heading2"/>
        <w:spacing w:after="110" w:before="260"/>
      </w:pPr>
      <w:r>
        <w:rPr>
          <w:rFonts w:ascii="Calibri" w:cs="Calibri" w:eastAsia="Calibri" w:hAnsi="Calibri"/>
          <w:b/>
          <w:bCs/>
          <w:color w:val="2E75B6"/>
          <w:sz w:val="25"/>
          <w:szCs w:val="25"/>
        </w:rPr>
        <w:t xml:space="preserve">5.6 RCA Engine and flakiness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Failures are grouped by signature: normalised error message, failing assertion, affected endpoint or screen, and stack shape. Grouping is deterministic and precedes any model involvement.</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Correlation joins each group against recent commits, deployments, requirement changes, environment health and data state — all of which the platform already holds, which is why this feature is cheap here and expensive elsewhere.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model ranks candidate causes over that assembled evidence and states its confidence. It never closes, reclassifies or suppresses a result (SRS FR-RCA-05).</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Flakiness detection is statistical rather than model-based: outcome variance across runs where neither application version nor environment changed. Below the stability threshold a test is quarantined — still executed and reported, but excluded from gate decisions.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Quarantine population is monitored and alerted, because an unbounded quarantine silently erodes coverage while every dashboard stays green.</w:t>
      </w:r>
    </w:p>
    <w:p>
      <w:pPr>
        <w:pStyle w:val="Heading2"/>
        <w:spacing w:after="110" w:before="260"/>
      </w:pPr>
      <w:r>
        <w:rPr>
          <w:rFonts w:ascii="Calibri" w:cs="Calibri" w:eastAsia="Calibri" w:hAnsi="Calibri"/>
          <w:b/>
          <w:bCs/>
          <w:color w:val="2E75B6"/>
          <w:sz w:val="25"/>
          <w:szCs w:val="25"/>
        </w:rPr>
        <w:t xml:space="preserve">5.7 Model abstraction and routing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Interface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Carried forward from v1: prompt template identifier, variable binding, response schema, model tier; returns a validated object plus usage metadata. Every v2 component uses it; none calls a provider directly.</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Routing policy</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 organisation, and per operation class. An organisation may route all inference to a self-hosted endpoint, or route generation externally while keeping copilot local. Policy is configuration, enforced at the abstraction layer (SRS FR-GOV-13).</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Tiering</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Operations are classified by required capability. Deterministic derivation handles what it can; smaller models handle classification and extraction; the largest tier is reserved for generation and copilot reasoning. This is the primary lever on inference cost.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Evaluation harness</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prompt has a versioned evaluation set and a scoring function. A prompt change that regresses its evaluation set cannot be released, in the same way a code change that fails tests cannot.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Cost governance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Token consumption metered per organisation, project, feature and operation, with plan-level budgets enforced at the abstraction layer rather than discovered on an invoice.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Air-gapped operation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abstraction points at a locally hosted model. Capability differences are measured and published rather than discovered by the customer (SRS NFR-POR-211).</w:t>
            </w:r>
          </w:p>
        </w:tc>
      </w:tr>
    </w:tbl>
    <w:p>
      <w:pPr>
        <w:pStyle w:val="Heading1"/>
        <w:pageBreakBefore/>
        <w:spacing w:after="160" w:before="360"/>
      </w:pPr>
      <w:r>
        <w:rPr>
          <w:rFonts w:ascii="Calibri" w:cs="Calibri" w:eastAsia="Calibri" w:hAnsi="Calibri"/>
          <w:b/>
          <w:bCs/>
          <w:color w:val="1F4E79"/>
          <w:sz w:val="30"/>
          <w:szCs w:val="30"/>
        </w:rPr>
        <w:t xml:space="preserve">6. Data Platform</w:t>
      </w:r>
    </w:p>
    <w:p>
      <w:pPr>
        <w:pStyle w:val="Heading2"/>
        <w:spacing w:after="110" w:before="260"/>
      </w:pPr>
      <w:r>
        <w:rPr>
          <w:rFonts w:ascii="Calibri" w:cs="Calibri" w:eastAsia="Calibri" w:hAnsi="Calibri"/>
          <w:b/>
          <w:bCs/>
          <w:color w:val="2E75B6"/>
          <w:sz w:val="25"/>
          <w:szCs w:val="25"/>
        </w:rPr>
        <w:t xml:space="preserve">6.1 Stores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3075"/>
        <w:gridCol w:w="4012"/>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Store</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Technology</w:t>
            </w:r>
          </w:p>
        </w:tc>
        <w:tc>
          <w:tcPr>
            <w:tcW w:type="dxa" w:w="401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Contents and rationale</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Transactional</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PostgreSQL</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object graph: requirements, tests, cycles, releases, defects, results, audit. Remains relational because every governance and coverage feature is a join.</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Analytical</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Columnar store or read replica with materialised aggregates</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 and scorecard queries across projects and time. Separated so reporting cannot degrade the product (SRS NFR-SCA-205).</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Object storage</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S3-compatible, MinIO on-premise</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Documents, specifications, screenshots, videos, DOM snapshots, evidence packs. The fastest-growing class by volume.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Search and vector index</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PostgreSQL full-text plus a vector index</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retrieval over requirement and defect text, and requirement-to-endpoint candidate matching. Kept adjacent to the primary store to avoid a second system of record.</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Event log</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Durable partitioned log</w:t>
            </w:r>
          </w:p>
        </w:tc>
        <w:tc>
          <w:tcPr>
            <w:tcW w:type="dxa" w:w="401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change feed consumed by analytics, intelligence and audit.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Secret store</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External KMS hosted; file or HSM-backed on-premise</w:t>
            </w:r>
          </w:p>
        </w:tc>
        <w:tc>
          <w:tcPr>
            <w:tcW w:type="dxa" w:w="401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Environment credentials, integration credentials, per-tenant data keys.</w:t>
            </w:r>
          </w:p>
        </w:tc>
      </w:tr>
    </w:tbl>
    <w:p>
      <w:pPr>
        <w:pStyle w:val="Heading2"/>
        <w:spacing w:after="110" w:before="260"/>
      </w:pPr>
      <w:r>
        <w:rPr>
          <w:rFonts w:ascii="Calibri" w:cs="Calibri" w:eastAsia="Calibri" w:hAnsi="Calibri"/>
          <w:b/>
          <w:bCs/>
          <w:color w:val="2E75B6"/>
          <w:sz w:val="25"/>
          <w:szCs w:val="25"/>
        </w:rPr>
        <w:t xml:space="preserve">6.2 Tenancy model</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Isolation is now a two-level predicate: organisation and sub-organisation. Row-level security enforces both, and the application connects as a role that cannot bypass it.</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Residency-bound organisations are pinned to a region at creation. Region is part of the routing decision at the gateway, so a request for a pinned organisation cannot be served from another region even in a failover scenario.</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cross-tenant test suite is extended to cover sub-organisations and every new v2 endpoint, and remains a release gate (SRS NFR-SEC-205).</w:t>
      </w:r>
    </w:p>
    <w:p>
      <w:pPr>
        <w:pStyle w:val="Heading2"/>
        <w:spacing w:after="110" w:before="260"/>
      </w:pPr>
      <w:r>
        <w:rPr>
          <w:rFonts w:ascii="Calibri" w:cs="Calibri" w:eastAsia="Calibri" w:hAnsi="Calibri"/>
          <w:b/>
          <w:bCs/>
          <w:color w:val="2E75B6"/>
          <w:sz w:val="25"/>
          <w:szCs w:val="25"/>
        </w:rPr>
        <w:t xml:space="preserve">6.3 Data lifecycle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Class</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Policy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tests, cycles, releases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Retained for the life of the project; versioned; deleted only on project deletion or organisation export-and-delete.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results and evidence</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Retained per organisation policy, with a default that keeps full evidence for recent runs and summaries for older ones. Video is retained for failures and a sampled subset of passes.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 captures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Redacted at capture; retained for a short default window, since their value is in producing an inventory, not in being kept.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Audit and agent actions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Append-only, retained for the longer of the policy period and any active legal hold. Never deletable through the application.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packs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Checksummed and retained per policy and legal hold; independently exportable so a customer never depends on the vendor for their own audit record.</w:t>
            </w:r>
          </w:p>
        </w:tc>
      </w:tr>
    </w:tbl>
    <w:p>
      <w:pPr>
        <w:pStyle w:val="Heading1"/>
        <w:pageBreakBefore/>
        <w:spacing w:after="160" w:before="360"/>
      </w:pPr>
      <w:r>
        <w:rPr>
          <w:rFonts w:ascii="Calibri" w:cs="Calibri" w:eastAsia="Calibri" w:hAnsi="Calibri"/>
          <w:b/>
          <w:bCs/>
          <w:color w:val="1F4E79"/>
          <w:sz w:val="30"/>
          <w:szCs w:val="30"/>
        </w:rPr>
        <w:t xml:space="preserve">7. Security Architecture</w:t>
      </w:r>
    </w:p>
    <w:p>
      <w:pPr>
        <w:pStyle w:val="Heading2"/>
        <w:spacing w:after="110" w:before="260"/>
      </w:pPr>
      <w:r>
        <w:rPr>
          <w:rFonts w:ascii="Calibri" w:cs="Calibri" w:eastAsia="Calibri" w:hAnsi="Calibri"/>
          <w:b/>
          <w:bCs/>
          <w:color w:val="2E75B6"/>
          <w:sz w:val="25"/>
          <w:szCs w:val="25"/>
        </w:rPr>
        <w:t xml:space="preserve">7.1 What v2 adds to the threat surface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New surface</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Control</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Browsers rendering customer applications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disposable container per case; no shared state; egress allow-listed to the environment under test; no platform credential present in the execution context.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 interception</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User-initiated only, scoped to declared hosts, redacted before persistence, retained briefly. The proxy holds no long-lived customer secret.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Rich evidence — screenshots, video, DOM</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Automated detection and redaction of credentials and personal data before storage; configurable region masking; access governed by the same permissions as the run.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Autonomous agents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Runner-enforced boundaries, non-elevated permissions, hard budgets, immutable action log, reversibility.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Third-party extensions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Isolated runtime, declared permissions with administrator approval, no filesystem or network access by default, resource limits with automatic disablement.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Many external integrations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Per-integration credentials encrypted with per-organisation keys; least-privilege scopes; credential never returned by any interface; integration failure isolated from platform operation.</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Sub-organisation structures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Two-level row-level security; consolidated reporting only by explicit parent-level grant; project transfer fully audited.</w:t>
            </w:r>
          </w:p>
        </w:tc>
      </w:tr>
    </w:tbl>
    <w:p>
      <w:pPr>
        <w:pStyle w:val="Heading2"/>
        <w:spacing w:after="110" w:before="260"/>
      </w:pPr>
      <w:r>
        <w:rPr>
          <w:rFonts w:ascii="Calibri" w:cs="Calibri" w:eastAsia="Calibri" w:hAnsi="Calibri"/>
          <w:b/>
          <w:bCs/>
          <w:color w:val="2E75B6"/>
          <w:sz w:val="25"/>
          <w:szCs w:val="25"/>
        </w:rPr>
        <w:t xml:space="preserve">7.2 Compliance architecture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Controls are mapped to ISO/IEC 27001 Annex A and to the NCA Essential Cybersecurity Controls, maintained as a live register rather than assembled per questionnaire.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data processing inventory is generated from the system’s own configuration where possible, so that it cannot drift from what the platform actually does.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Customer-managed encryption keys are supported for enterprise and on-premise deployments, with documented key rotation and revocation behaviour.</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 software bill of materials is produced per release; dependencies and images are scanned continuously with a documented policy for critical findings.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Independent penetration testing at least annually, with findings tracked to closure and a summary made available to enterprise customers under agreement.</w:t>
      </w:r>
    </w:p>
    <w:p>
      <w:pPr>
        <w:pStyle w:val="Heading1"/>
        <w:pageBreakBefore/>
        <w:spacing w:after="160" w:before="360"/>
      </w:pPr>
      <w:r>
        <w:rPr>
          <w:rFonts w:ascii="Calibri" w:cs="Calibri" w:eastAsia="Calibri" w:hAnsi="Calibri"/>
          <w:b/>
          <w:bCs/>
          <w:color w:val="1F4E79"/>
          <w:sz w:val="30"/>
          <w:szCs w:val="30"/>
        </w:rPr>
        <w:t xml:space="preserve">8. Deployment Topologies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80"/>
        <w:gridCol w:w="2308"/>
        <w:gridCol w:w="2564"/>
        <w:gridCol w:w="2308"/>
      </w:tblGrid>
      <w:tr>
        <w:trPr>
          <w:tblHeader/>
        </w:trPr>
        <w:tc>
          <w:tcPr>
            <w:tcW w:type="dxa" w:w="218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Topology</w:t>
            </w:r>
          </w:p>
        </w:tc>
        <w:tc>
          <w:tcPr>
            <w:tcW w:type="dxa" w:w="230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w:t>
            </w:r>
          </w:p>
        </w:tc>
        <w:tc>
          <w:tcPr>
            <w:tcW w:type="dxa" w:w="256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Composition</w:t>
            </w:r>
          </w:p>
        </w:tc>
        <w:tc>
          <w:tcPr>
            <w:tcW w:type="dxa" w:w="230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Constraints</w:t>
            </w:r>
          </w:p>
        </w:tc>
      </w:tr>
      <w:tr>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Hosted multi-tenant</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Team, Business</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Kubernetes, managed PostgreSQL, object storage, managed grid, hosted inference.</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Region selected per organisation; residency enforced at gateway and storage.</w:t>
            </w:r>
          </w:p>
        </w:tc>
      </w:tr>
      <w:tr>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Hosted in-Kingdom</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Same composition in a Saudi region, with inference routed in-region.</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data path outside the region, including backups, logs and inference.</w:t>
            </w:r>
          </w:p>
        </w:tc>
      </w:tr>
      <w:tr>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On-premise</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Sovereign</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Helm chart or Compose, self-hosted PostgreSQL, MinIO, self-hosted grid, customer-supplied or bundled model endpoint.</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Installable from documentation alone; upgrade and rollback supported.</w:t>
            </w:r>
          </w:p>
        </w:tc>
      </w:tr>
      <w:tr>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Air-gapped</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Sovereign</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On-premise plus bundled local model and offline licence; no outbound path.</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 capability required; any degradation documented explicitly and published.</w:t>
            </w:r>
          </w:p>
        </w:tc>
      </w:tr>
    </w:tbl>
    <w:p>
      <w:pPr>
        <w:pStyle w:val="Heading2"/>
        <w:spacing w:after="110" w:before="260"/>
      </w:pPr>
      <w:r>
        <w:rPr>
          <w:rFonts w:ascii="Calibri" w:cs="Calibri" w:eastAsia="Calibri" w:hAnsi="Calibri"/>
          <w:b/>
          <w:bCs/>
          <w:color w:val="2E75B6"/>
          <w:sz w:val="25"/>
          <w:szCs w:val="25"/>
        </w:rPr>
        <w:t xml:space="preserve">8.1 Parity discipline</w:t>
      </w:r>
    </w:p>
    <w:p>
      <w:pPr>
        <w:spacing w:after="120" w:line="276"/>
      </w:pPr>
      <w:r>
        <w:rPr>
          <w:rFonts w:ascii="Calibri" w:cs="Calibri" w:eastAsia="Calibri" w:hAnsi="Calibri"/>
          <w:b w:val="false"/>
          <w:bCs w:val="false"/>
          <w:i w:val="false"/>
          <w:iCs w:val="false"/>
          <w:color w:val="262626"/>
          <w:sz w:val="21"/>
          <w:szCs w:val="21"/>
        </w:rPr>
        <w:t xml:space="preserve">The largest architectural risk in v2 is that hosted and on-premise quietly diverge, and the sovereign proposition — the hardest property for a competitor to match — becomes a second-class build nobody wants to sell. Three rules prevent this: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Any dependency without a self-hostable equivalent is rejected at design time, not worked around at packaging time.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on-premise package is built and installation-tested in CI on every release, not assembled before a deal.</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 published parity statement lists every capability that behaves differently on-premise. If the list grows, that is a visible architectural regression rather than an invisible one.</w:t>
      </w:r>
    </w:p>
    <w:p>
      <w:pPr>
        <w:pStyle w:val="Heading2"/>
        <w:spacing w:after="110" w:before="260"/>
      </w:pPr>
      <w:r>
        <w:rPr>
          <w:rFonts w:ascii="Calibri" w:cs="Calibri" w:eastAsia="Calibri" w:hAnsi="Calibri"/>
          <w:b/>
          <w:bCs/>
          <w:color w:val="2E75B6"/>
          <w:sz w:val="25"/>
          <w:szCs w:val="25"/>
        </w:rPr>
        <w:t xml:space="preserve">8.2 Delivery pipeline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Per-service pipelines with a shared gate suite. The four gates that block any release: grounding validation, tenant and sub-tenant isolation, v1 backward compatibility, and the evaluation suite for whichever intelligence component changed.</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Contract tests between services run on every change; a service may not deploy against an unversioned event schema change.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Database migrations are forward-only and backward compatible with the previous release, so rollback never requires a data migration.</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Progressive rollout by organisation cohort, with automatic rollback on error-budget breach.</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on-premise artefact is produced by the same pipeline from the same images, differing only in configuration and packaging.</w:t>
      </w:r>
    </w:p>
    <w:p>
      <w:pPr>
        <w:pStyle w:val="Heading1"/>
        <w:pageBreakBefore/>
        <w:spacing w:after="160" w:before="360"/>
      </w:pPr>
      <w:r>
        <w:rPr>
          <w:rFonts w:ascii="Calibri" w:cs="Calibri" w:eastAsia="Calibri" w:hAnsi="Calibri"/>
          <w:b/>
          <w:bCs/>
          <w:color w:val="1F4E79"/>
          <w:sz w:val="30"/>
          <w:szCs w:val="30"/>
        </w:rPr>
        <w:t xml:space="preserve">9. Observability and Operations</w:t>
      </w:r>
    </w:p>
    <w:p>
      <w:pPr>
        <w:pStyle w:val="Heading2"/>
        <w:spacing w:after="110" w:before="260"/>
      </w:pPr>
      <w:r>
        <w:rPr>
          <w:rFonts w:ascii="Calibri" w:cs="Calibri" w:eastAsia="Calibri" w:hAnsi="Calibri"/>
          <w:b/>
          <w:bCs/>
          <w:color w:val="2E75B6"/>
          <w:sz w:val="25"/>
          <w:szCs w:val="25"/>
        </w:rPr>
        <w:t xml:space="preserve">9.1 Service level objectives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9"/>
        <w:gridCol w:w="2407"/>
        <w:gridCol w:w="3744"/>
      </w:tblGrid>
      <w:tr>
        <w:trPr>
          <w:tblHeader/>
        </w:trPr>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Objective</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Note</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Core platform availability</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99.9% monthly</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Excludes execution grid, which has its own objective.</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grid availability</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99.5% monthly</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Degradation is queuing, not failure (SRS NFR-SCA-204).</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Interactive page latency</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&lt; 2 s at p95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Dashboards measured separately at 3 s for 100 projects.</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first token</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&lt; 3 s at p90</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Perceived responsiveness matters more than total time.</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Integration sync lag</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&lt; 5 minutes at p95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Defect synchronisation is the most visible integration.</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Event backbone lag</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&lt; 30 s at p99</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Analytics freshness depends on it.</w:t>
            </w:r>
          </w:p>
        </w:tc>
      </w:tr>
    </w:tbl>
    <w:p>
      <w:pPr>
        <w:pStyle w:val="Heading2"/>
        <w:spacing w:after="110" w:before="260"/>
      </w:pPr>
      <w:r>
        <w:rPr>
          <w:rFonts w:ascii="Calibri" w:cs="Calibri" w:eastAsia="Calibri" w:hAnsi="Calibri"/>
          <w:b/>
          <w:bCs/>
          <w:color w:val="2E75B6"/>
          <w:sz w:val="25"/>
          <w:szCs w:val="25"/>
        </w:rPr>
        <w:t xml:space="preserve">9.2 Signals that matter most</w:t>
      </w:r>
    </w:p>
    <w:p>
      <w:pPr>
        <w:spacing w:after="120" w:line="276"/>
      </w:pPr>
      <w:r>
        <w:rPr>
          <w:rFonts w:ascii="Calibri" w:cs="Calibri" w:eastAsia="Calibri" w:hAnsi="Calibri"/>
          <w:b w:val="false"/>
          <w:bCs w:val="false"/>
          <w:i w:val="false"/>
          <w:iCs w:val="false"/>
          <w:color w:val="262626"/>
          <w:sz w:val="21"/>
          <w:szCs w:val="21"/>
        </w:rPr>
        <w:t xml:space="preserve">At v2 scale, standard infrastructure telemetry is necessary but not sufficient. The signals below detect the failures that would otherwise be discovered by a customer: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Signal</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is the one that matters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Grounding discard rate by prompt version</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rise means the generator has drifted before any user notices worse output.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Healing false-repair rate</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only detector of the silent false-pass failure mode, which no other alert can see.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refusal and citation rates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falling refusal rate with a stable question mix suggests the model has started inventing answers.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 selection miss rate</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Measures whether the customer’s trust in a subset is justified.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Quarantine population share</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Detects coverage eroding quietly behind green dashboards.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Inference cost per organisation per active user</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unit economic that determines whether success is profitable.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storage growth per project</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fastest-growing cost class in v2 and the easiest to ignore until it is large.</w:t>
            </w:r>
          </w:p>
        </w:tc>
      </w:tr>
    </w:tbl>
    <w:p>
      <w:pPr>
        <w:pStyle w:val="Heading2"/>
        <w:spacing w:after="110" w:before="260"/>
      </w:pPr>
      <w:r>
        <w:rPr>
          <w:rFonts w:ascii="Calibri" w:cs="Calibri" w:eastAsia="Calibri" w:hAnsi="Calibri"/>
          <w:b/>
          <w:bCs/>
          <w:color w:val="2E75B6"/>
          <w:sz w:val="25"/>
          <w:szCs w:val="25"/>
        </w:rPr>
        <w:t xml:space="preserve">9.3 Operational readiness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Runbooks for grid exhaustion, provider outage, integration credential expiry, event backbone lag, and migration rollback — written before the capability ships, not after its first incident.</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Error budgets per service with an explicit policy: budget exhausted means feature work stops until reliability is restored.</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On-premise customers receive a diagnostic bundle tool that collects logs, configuration and health state without exposing customer data, so support does not require access to their environment.</w:t>
      </w:r>
    </w:p>
    <w:p>
      <w:pPr>
        <w:pStyle w:val="Heading1"/>
        <w:pageBreakBefore/>
        <w:spacing w:after="160" w:before="360"/>
      </w:pPr>
      <w:r>
        <w:rPr>
          <w:rFonts w:ascii="Calibri" w:cs="Calibri" w:eastAsia="Calibri" w:hAnsi="Calibri"/>
          <w:b/>
          <w:bCs/>
          <w:color w:val="1F4E79"/>
          <w:sz w:val="30"/>
          <w:szCs w:val="30"/>
        </w:rPr>
        <w:t xml:space="preserve">10. Migration from Version 1</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Concern</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Approach</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Data</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 schema is extended, not replaced. New tables are additive; existing tables gain nullable columns. No v1 row is rewritten during upgrade.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 endpoints remain mounted and functional for a minimum of twelve months, with a published deprecation timeline. New capability appears under v2 paths.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Behaviour</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 capabilities are opt-in per project. An organisation that adopts nothing new sees no change to its existing workflow (SRS FR-MIG-08).</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Verification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automated backward-compatibility suite exercises every v1 workflow and API contract against every v2 release, and blocks the release on failure.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Sequencing</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Services extract behind the existing API surface. Clients are unaware of the decomposition; no customer-visible change accompanies an internal split.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Rollback</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release is rollback-safe for one version. Migrations that cannot be made backward compatible are split across two releases rather than shipped as a one-way door.</w:t>
            </w:r>
          </w:p>
        </w:tc>
      </w:tr>
    </w:tbl>
    <w:p>
      <w:pPr>
        <w:pStyle w:val="Heading1"/>
        <w:pageBreakBefore/>
        <w:spacing w:after="160" w:before="360"/>
      </w:pPr>
      <w:r>
        <w:rPr>
          <w:rFonts w:ascii="Calibri" w:cs="Calibri" w:eastAsia="Calibri" w:hAnsi="Calibri"/>
          <w:b/>
          <w:bCs/>
          <w:color w:val="1F4E79"/>
          <w:sz w:val="30"/>
          <w:szCs w:val="30"/>
        </w:rPr>
        <w:t xml:space="preserve">11. Traceability — Requirements to Components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9"/>
        <w:gridCol w:w="3075"/>
        <w:gridCol w:w="3076"/>
      </w:tblGrid>
      <w:tr>
        <w:trPr>
          <w:tblHeader/>
        </w:trPr>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Requirement group</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Implementing component</w:t>
            </w:r>
          </w:p>
        </w:tc>
        <w:tc>
          <w:tcPr>
            <w:tcW w:type="dxa" w:w="307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Section</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FR-TRF (traffic discovery)</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Discovery service — capture, redaction, inference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4.1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FR-UIT (UI testing)</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Discovery service — UI crawl; Generation; Browser runner</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4.2, 3.1</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FR-SLF (self-healing)</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Healing Engine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5.2</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FR-VIS, FR-RTL, FR-ACC</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Browser runner analysers; Lifecycle for findings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3.1, 4.2</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FR-MOB (mobile)</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Mobile exploration; Device runner</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4.3, 3.1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FR-PRT (protocols)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API runner adapters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3.1</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FR-EXE (execution extensions)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Execution Fabric orchestrator and grid</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3.1, 3.2, 3.3</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FR-FLK (flakiness)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RCA Engine — statistical detection</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5.6</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FR-CYC, FR-REL, FR-DEF, FR-EVD</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Lifecycle service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2.2</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FR-DAT, FR-SVC, FR-ENV</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Project &amp; Environment service; Virtual service runner</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2.2, 3.1</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FR-CPL (copilot)</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Copilot — hybrid retrieval and citation</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5.3</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FR-AGT (agents)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Agent Orchestrator</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5.4</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FR-RCA (root cause)</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RCA Engine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5.6</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FR-RSK (risk)</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Risk Engine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5.5</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FR-ANL (analytics)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Analytics service and analytical store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2.2, 6.1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FR-IAM, FR-GOV</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Identity &amp; Governance service; tenancy model</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2.2, 6.2</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FR-I18N</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Cross-cutting: interface, generation, export rendering</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FR-API, FR-CIC, FR-INT</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API Gateway; Integration Hub</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2.1, 2.2</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FR-EXT (extensions)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Extension Runtime sandbox</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2.2, 7.1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FR-DEP (deployment)</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Deployment topologies and parity discipline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8, 8.1</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FR-MIG (migration)</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Migration approach and compatibility suite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10</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NFR-REL-207/208/210 (intelligence accuracy)</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Evaluation harness and release gates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5.7, 8.2</w:t>
            </w:r>
          </w:p>
        </w:tc>
      </w:tr>
    </w:tbl>
    <w:p>
      <w:pPr>
        <w:pStyle w:val="Heading1"/>
        <w:pageBreakBefore/>
        <w:spacing w:after="160" w:before="360"/>
      </w:pPr>
      <w:r>
        <w:rPr>
          <w:rFonts w:ascii="Calibri" w:cs="Calibri" w:eastAsia="Calibri" w:hAnsi="Calibri"/>
          <w:b/>
          <w:bCs/>
          <w:color w:val="1F4E79"/>
          <w:sz w:val="30"/>
          <w:szCs w:val="30"/>
        </w:rPr>
        <w:t xml:space="preserve">12. Technical Risks —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3744"/>
        <w:gridCol w:w="4546"/>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Risk</w:t>
            </w:r>
          </w:p>
        </w:tc>
        <w:tc>
          <w:tcPr>
            <w:tcW w:type="dxa" w:w="454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Mitigation</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Browser execution proves too slow or too unreliable at scale, and UI testing is abandoned by users after being shipped.</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Warm worker pools; per-case isolation; flakiness quarantine shipped in the same train as UI testing; locator-breakage rate is a gate on train 2.1 departure, not a metric reviewed later.</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Healing binds to the wrong element, converting a real failure into a silent pass — the most damaging failure the platform can have.</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Multi-signal agreement above threshold, otherwise fail; assertions structurally immutable in the healing path; labelled evaluation set gating release at 0.5% false-repair rate; unconfirmed repairs visually flagged in every report.</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produces confident, wrong quantitative answers about coverage.</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Quantitative answers are computed by query and given to the model, never inferred by it. Citation is mandatory; refusal is a measured, gated outcome; copilot output is excluded from every automated decision.</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Service decomposition outpaces the team’s operational capacity, and reliability falls.</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Four to five deployables, not eleven services. Extraction is sequenced by observed pain (section 2.3). Error budgets stop feature work when reliability degrades.</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Evidence storage growth becomes the dominant infrastructure cost.</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Tiered retention by outcome; video retained for failures and sampled passes; per-project storage metered and surfaced to the customer; lifecycle policies applied automatically.</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Hosted and on-premise builds diverge, and the sovereign proposition becomes unsellable.</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Section 8.1: no non-self-hostable dependencies, on-premise installation tested in CI every release, published parity statement that makes divergence visible.</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Analytics queries degrade transactional performance as history accumulates.</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Separate analytical read path from train 2.1; event-driven aggregation; no reporting query executes against the primary transactional path.</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T-208</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Risk-based selection omits a test that would have caught a production regression.</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 requirements always included; mandatory scheduled full run that cannot be disabled; miss rate measured, gated at 2%, and published to the customer.</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T-209</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 extension exfiltrates tenant data or destabilises a run.</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Isolated runtime with no default filesystem or network access; declared permissions with administrator approval; resource limits with automatic disablement that does not fail the run.</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T-210</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Inference cost per active user makes the seat price unprofitable at scale.</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Operation tiering with deterministic derivation first; per-organisation budgets enforced at the abstraction layer; cost per active user tracked as a headline operational signal.</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T-211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v2 upgrade disrupts v1 customers and destroys the reference base.</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Additive schema, mounted v1 API, opt-in capabilities, and an automated compatibility suite that is a release gate.</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T-212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 agent takes a destructive action in a customer environment.</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Runner-enforced boundaries rather than prompt instruction; non-production default; allow-listed destructive operations; hard budgets; immutable, reversible action log.</w:t>
            </w:r>
          </w:p>
        </w:tc>
      </w:tr>
    </w:tbl>
    <w:p>
      <w:pPr>
        <w:pStyle w:val="Heading1"/>
        <w:pageBreakBefore/>
        <w:spacing w:after="160" w:before="360"/>
      </w:pPr>
      <w:r>
        <w:rPr>
          <w:rFonts w:ascii="Calibri" w:cs="Calibri" w:eastAsia="Calibri" w:hAnsi="Calibri"/>
          <w:b/>
          <w:bCs/>
          <w:color w:val="1F4E79"/>
          <w:sz w:val="30"/>
          <w:szCs w:val="30"/>
        </w:rPr>
        <w:t xml:space="preserve">13. Open Technical Decisions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349"/>
        <w:gridCol w:w="2941"/>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34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Decision</w:t>
            </w:r>
          </w:p>
        </w:tc>
        <w:tc>
          <w:tcPr>
            <w:tcW w:type="dxa" w:w="29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Needed by</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D-201</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Locator signal weighting and the confidence function; construction of the labelled evaluation set that gates healing accuracy.</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train 2.0 build.</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D-202</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 capture mechanism: proxy, browser instrumentation, or both, and the redaction guarantee each can offer.</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2.0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D-203</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Analytical store: read replica with materialised aggregates, or a dedicated columnar store. Depends on projected history depth and query shape.</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D-204</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Event backbone technology, constrained by the requirement that it be self-hostable and operable by a small team.</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2.0 sprint 2.</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D-205</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Device farm: partner service, self-hosted rack, or both. Materially affects cost model and on-premise parity.</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2.2 planning (BRD V2-03).</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D-206</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Self-hosted model selection for air-gapped deployment, and the measured capability gap to publish.</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2.2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D-207</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Change-impact technique mix: static dependency analysis, historical correlation, runtime coverage instrumentation, or a weighted combination.</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2.2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D-208</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Extension sandbox technology and its resource isolation boundary.</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2.3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D-209</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Visual comparison algorithm and default tolerance, tuned so that false positives stay below the level at which teams stop looking at results.</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D-210</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Vector index placement: an extension inside PostgreSQL, or a separate service. Constrained by on-premise operability.</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bl>
    <w:p>
      <w:pPr>
        <w:pStyle w:val="Heading1"/>
        <w:pageBreakBefore/>
        <w:spacing w:after="160" w:before="360"/>
      </w:pPr>
      <w:r>
        <w:rPr>
          <w:rFonts w:ascii="Calibri" w:cs="Calibri" w:eastAsia="Calibri" w:hAnsi="Calibri"/>
          <w:b/>
          <w:bCs/>
          <w:color w:val="1F4E79"/>
          <w:sz w:val="30"/>
          <w:szCs w:val="30"/>
        </w:rPr>
        <w:t xml:space="preserve">14. Build Sequence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71"/>
        <w:gridCol w:w="4011"/>
        <w:gridCol w:w="3878"/>
      </w:tblGrid>
      <w:tr>
        <w:trPr>
          <w:tblHeader/>
        </w:trPr>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Train</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Engineering focus</w:t>
            </w:r>
          </w:p>
        </w:tc>
        <w:tc>
          <w:tcPr>
            <w:tcW w:type="dxa" w:w="387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Sequencing rationale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2.0</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Fabric extraction; browser runner and grid; UI discovery and generation; healing engine v1; traffic discovery; lifecycle basics — cycles and defects; API gateway and public API; SSO; integration hub for Jira and Azure DevOps; CI/CD plugins; compatibility suite.</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Everything here is deterministic or gate-testable. The riskiest component — healing — ships with its evaluation set from day one, so its accuracy is known before anything is built on top of it.</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2.1</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Intelligence service extraction; copilot with grounding evaluation; maintenance agent; flakiness; visual, RTL and accessibility analysers; releases and gates; evidence packs; analytics service and analytical store; portfolio and scorecard; custom roles, audit and retention; Arabic parity; test data and environment management; SDKs and webhooks.</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Intelligence arrives only after the execution substrate is stable. Building agents on an unreliable runner produces failures nobody can attribute.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2.2</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 engine and change impact; RCA engine; exploratory agent; mobile runner and exploration; protocol adapters; service virtualisation; sub-organisation tenancy; templates and approvals; migration tooling; on-premise and air-gapped packaging.</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 selection requires run history the earlier trains produce. On-premise packaging comes after the service boundaries have settled, so it is not rebuilt.</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2.3</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Predictive signals; extension runtime and marketplace; multi-region residency; event stream; advanced analytics; partner portal.</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Ecosystem and prediction both depend on accumulated data and a stable platform contract. Neither is buildable earlier at acceptable quality.</w:t>
            </w:r>
          </w:p>
        </w:tc>
      </w:tr>
    </w:tbl>
    <w:p>
      <w:pPr>
        <w:pStyle w:val="Heading1"/>
        <w:pageBreakBefore/>
        <w:spacing w:after="160" w:before="360"/>
      </w:pPr>
      <w:r>
        <w:rPr>
          <w:rFonts w:ascii="Calibri" w:cs="Calibri" w:eastAsia="Calibri" w:hAnsi="Calibri"/>
          <w:b/>
          <w:bCs/>
          <w:color w:val="1F4E79"/>
          <w:sz w:val="30"/>
          <w:szCs w:val="30"/>
        </w:rPr>
        <w:t xml:space="preserve">15. Summary</w:t>
      </w:r>
    </w:p>
    <w:p>
      <w:pPr>
        <w:spacing w:after="120" w:line="276"/>
      </w:pPr>
      <w:r>
        <w:rPr>
          <w:rFonts w:ascii="Calibri" w:cs="Calibri" w:eastAsia="Calibri" w:hAnsi="Calibri"/>
          <w:b w:val="false"/>
          <w:bCs w:val="false"/>
          <w:i w:val="false"/>
          <w:iCs w:val="false"/>
          <w:color w:val="262626"/>
          <w:sz w:val="21"/>
          <w:szCs w:val="21"/>
        </w:rPr>
        <w:t xml:space="preserve">The v2 architecture makes three structural bets. First, that execution should be a fabric of pluggable runners, so that adding mobile, a protocol or a new analysis is an addition rather than a redesign. Second, that intelligence belongs in a separately released service whose components are gated on measured accuracy rather than on feature completion. Third, that portability is a design-time constraint rather than a packaging exercise, because the sovereign deployment is the property competitors will not match and it cannot be retrofitted.</w:t>
      </w:r>
    </w:p>
    <w:p>
      <w:pPr>
        <w:spacing w:after="120" w:line="276"/>
      </w:pPr>
      <w:r>
        <w:rPr>
          <w:rFonts w:ascii="Calibri" w:cs="Calibri" w:eastAsia="Calibri" w:hAnsi="Calibri"/>
          <w:b w:val="false"/>
          <w:bCs w:val="false"/>
          <w:i w:val="false"/>
          <w:iCs w:val="false"/>
          <w:color w:val="262626"/>
          <w:sz w:val="21"/>
          <w:szCs w:val="21"/>
        </w:rPr>
        <w:t xml:space="preserve">The trust invariant from v1 is unchanged and now carries more weight, because v2 introduces four new ways for the system to be confidently wrong: a healed locator that binds to the wrong element, a copilot answer that cites nothing, an agent action nobody authorised, and a risk selection that omits the one test that mattered.</w:t>
      </w:r>
    </w:p>
    <w:p>
      <w:pPr>
        <w:spacing w:after="120" w:line="276"/>
      </w:pPr>
      <w:r>
        <w:rPr>
          <w:rFonts w:ascii="Calibri" w:cs="Calibri" w:eastAsia="Calibri" w:hAnsi="Calibri"/>
          <w:b/>
          <w:bCs/>
          <w:i w:val="false"/>
          <w:iCs w:val="false"/>
          <w:color w:val="262626"/>
          <w:sz w:val="21"/>
          <w:szCs w:val="21"/>
        </w:rPr>
        <w:t xml:space="preserve">Each of those has a named metric, a release gate, and an operational alert in this document — not because they are likely, but because each is invisible to the user at the moment it occurs. A platform that a QA organisation runs on must fail loudly or not at all.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TRD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TRD v2.0 — TADQEEQ</dc:title>
  <dc:creator>TADQEEQ Product Team</dc:creator>
  <dc:description>Technical Requirements Document v2.0</dc:description>
  <cp:lastModifiedBy>Un-named</cp:lastModifiedBy>
  <cp:revision>1</cp:revision>
  <dcterms:created xsi:type="dcterms:W3CDTF">2026-07-25T23:09:48.008Z</dcterms:created>
  <dcterms:modified xsi:type="dcterms:W3CDTF">2026-07-25T23:09:48.012Z</dcterms:modified>
</cp:coreProperties>
</file>

<file path=docProps/custom.xml><?xml version="1.0" encoding="utf-8"?>
<Properties xmlns="http://schemas.openxmlformats.org/officeDocument/2006/custom-properties" xmlns:vt="http://schemas.openxmlformats.org/officeDocument/2006/docPropsVTypes"/>
</file>