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00"/>
        <w:jc w:val="center"/>
        <w:widowControl/>
      </w:pPr>
      <w:r>
        <w:rPr>
          <w:rFonts w:ascii="Arial" w:hAnsi="Arial"/>
          <w:b/>
          <w:color w:val="B88A2A"/>
          <w:sz w:val="26"/>
        </w:rPr>
        <w:t>QUANT PROJECT 1</w:t>
      </w:r>
    </w:p>
    <w:p>
      <w:pPr>
        <w:pStyle w:val="Title"/>
        <w:jc w:val="center"/>
        <w:widowControl/>
      </w:pPr>
      <w:r>
        <w:rPr>
          <w:rFonts w:ascii="Arial" w:hAnsi="Arial"/>
          <w:b/>
          <w:color w:val="172033"/>
          <w:sz w:val="58"/>
        </w:rPr>
        <w:t>Product Requirements Document</w:t>
      </w:r>
    </w:p>
    <w:p>
      <w:pPr>
        <w:jc w:val="center"/>
        <w:widowControl/>
      </w:pPr>
      <w:r>
        <w:rPr>
          <w:rFonts w:ascii="Arial" w:hAnsi="Arial"/>
          <w:b/>
          <w:color w:val="5B6472"/>
          <w:sz w:val="30"/>
        </w:rPr>
        <w:t>Hybrid Systematic Gold Futures Research &amp; Execution Platform</w:t>
      </w:r>
    </w:p>
    <w:tbl>
      <w:tblPr>
        <w:tblW w:type="auto" w:w="0"/>
        <w:jc w:val="center"/>
        <w:tblLayout w:type="fixed"/>
        <w:tblLook w:firstColumn="1" w:firstRow="1" w:lastColumn="0" w:lastRow="0" w:noHBand="0" w:noVBand="1" w:val="04A0"/>
      </w:tblPr>
      <w:tblGrid>
        <w:gridCol w:w="6912"/>
      </w:tblGrid>
      <w:tr>
        <w:tc>
          <w:tcPr>
            <w:tcW w:type="dxa" w:w="9994"/>
            <w:shd w:fill="B88A2A"/>
            <w:tcMar>
              <w:top w:w="0" w:type="dxa"/>
              <w:start w:w="0" w:type="dxa"/>
              <w:bottom w:w="0" w:type="dxa"/>
              <w:end w:w="0" w:type="dxa"/>
            </w:tcMar>
          </w:tcPr>
          <w:p/>
        </w:tc>
      </w:tr>
    </w:tbl>
    <w:p>
      <w:pPr>
        <w:spacing w:before="560"/>
        <w:jc w:val="center"/>
        <w:widowControl/>
      </w:pPr>
      <w:r>
        <w:rPr>
          <w:rFonts w:ascii="Arial" w:hAnsi="Arial"/>
          <w:color w:val="222222"/>
          <w:sz w:val="21"/>
        </w:rPr>
        <w:t>Prepared for: Project Partners and Technical Co-Builders</w:t>
      </w:r>
    </w:p>
    <w:p>
      <w:pPr>
        <w:jc w:val="center"/>
        <w:widowControl/>
      </w:pPr>
      <w:r>
        <w:rPr>
          <w:rFonts w:ascii="Arial" w:hAnsi="Arial"/>
          <w:b/>
          <w:color w:val="172033"/>
          <w:sz w:val="21"/>
        </w:rPr>
        <w:t>Project Owner &amp; Market/Strategy Lead: Abond</w:t>
      </w:r>
    </w:p>
    <w:p>
      <w:pPr>
        <w:jc w:val="center"/>
        <w:widowControl/>
      </w:pPr>
      <w:r>
        <w:rPr>
          <w:rFonts w:ascii="Arial" w:hAnsi="Arial"/>
          <w:color w:val="5B6472"/>
          <w:sz w:val="19"/>
        </w:rPr>
        <w:t>Version 1.0 — Partner Review Draft  |  19 July 2026</w:t>
      </w:r>
    </w:p>
    <w:p>
      <w:pPr>
        <w:spacing w:before="1700"/>
        <w:jc w:val="center"/>
        <w:widowControl/>
      </w:pPr>
      <w:r>
        <w:rPr>
          <w:rFonts w:ascii="Arial" w:hAnsi="Arial"/>
          <w:b/>
          <w:color w:val="A61B1B"/>
          <w:sz w:val="18"/>
        </w:rPr>
        <w:t>CONFIDENTIAL — PRIVATE QUANTITATIVE RESEARCH</w:t>
      </w:r>
    </w:p>
    <w:p>
      <w:pPr>
        <w:jc w:val="center"/>
        <w:widowControl/>
      </w:pPr>
      <w:r>
        <w:rPr>
          <w:rFonts w:ascii="Arial" w:hAnsi="Arial"/>
          <w:i/>
          <w:color w:val="5B6472"/>
          <w:sz w:val="16"/>
        </w:rPr>
        <w:t>This document describes a research and engineering programme. It does not claim that a profitable strategy already exists and is not investment advice.</w:t>
      </w:r>
    </w:p>
    <w:p>
      <w:pPr>
        <w:widowControl/>
      </w:pPr>
      <w:r>
        <w:br w:type="page"/>
      </w:r>
    </w:p>
    <w:p>
      <w:pPr>
        <w:pStyle w:val="Heading1"/>
        <w:pBdr>
          <w:bottom w:val="single" w:sz="8" w:space="3" w:color="B88A2A"/>
        </w:pBdr>
        <w:widowControl/>
      </w:pPr>
      <w:r>
        <w:rPr>
          <w:rFonts w:ascii="Arial" w:hAnsi="Arial"/>
          <w:b/>
          <w:color w:val="172033"/>
          <w:sz w:val="36"/>
        </w:rPr>
        <w:t>0. Document Control</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376"/>
            <w:shd w:fill="172033"/>
            <w:tcMar>
              <w:top w:w="75" w:type="dxa"/>
              <w:start w:w="90" w:type="dxa"/>
              <w:bottom w:w="75" w:type="dxa"/>
              <w:end w:w="90" w:type="dxa"/>
            </w:tcMar>
            <w:vAlign w:val="center"/>
          </w:tcPr>
          <w:p>
            <w:pPr>
              <w:jc w:val="left"/>
            </w:pPr>
            <w:r>
              <w:rPr>
                <w:rFonts w:ascii="Arial" w:hAnsi="Arial"/>
                <w:b/>
                <w:color w:val="FFFFFF"/>
                <w:sz w:val="16"/>
              </w:rPr>
              <w:t>Field</w:t>
            </w:r>
          </w:p>
        </w:tc>
        <w:tc>
          <w:tcPr>
            <w:tcW w:type="dxa" w:w="7992"/>
            <w:shd w:fill="172033"/>
            <w:tcMar>
              <w:top w:w="75" w:type="dxa"/>
              <w:start w:w="90" w:type="dxa"/>
              <w:bottom w:w="75" w:type="dxa"/>
              <w:end w:w="90" w:type="dxa"/>
            </w:tcMar>
            <w:vAlign w:val="center"/>
          </w:tcPr>
          <w:p>
            <w:pPr>
              <w:jc w:val="left"/>
            </w:pPr>
            <w:r>
              <w:rPr>
                <w:rFonts w:ascii="Arial" w:hAnsi="Arial"/>
                <w:b/>
                <w:color w:val="FFFFFF"/>
                <w:sz w:val="16"/>
              </w:rPr>
              <w:t>Value</w:t>
            </w:r>
          </w:p>
        </w:tc>
      </w:tr>
      <w:tr>
        <w:trPr>
          <w:cantSplit/>
        </w:trPr>
        <w:tc>
          <w:tcPr>
            <w:tcW w:type="dxa" w:w="2376"/>
            <w:tcMar>
              <w:top w:w="65" w:type="dxa"/>
              <w:start w:w="90" w:type="dxa"/>
              <w:bottom w:w="65" w:type="dxa"/>
              <w:end w:w="90" w:type="dxa"/>
            </w:tcMar>
          </w:tcPr>
          <w:p>
            <w:pPr>
              <w:spacing w:after="0"/>
            </w:pPr>
            <w:r>
              <w:rPr>
                <w:rFonts w:ascii="Arial" w:hAnsi="Arial"/>
                <w:sz w:val="16"/>
              </w:rPr>
              <w:t>Document owner</w:t>
            </w:r>
          </w:p>
        </w:tc>
        <w:tc>
          <w:tcPr>
            <w:tcW w:type="dxa" w:w="7992"/>
            <w:tcMar>
              <w:top w:w="65" w:type="dxa"/>
              <w:start w:w="90" w:type="dxa"/>
              <w:bottom w:w="65" w:type="dxa"/>
              <w:end w:w="90" w:type="dxa"/>
            </w:tcMar>
          </w:tcPr>
          <w:p>
            <w:pPr>
              <w:spacing w:after="0"/>
            </w:pPr>
            <w:r>
              <w:rPr>
                <w:rFonts w:ascii="Arial" w:hAnsi="Arial"/>
                <w:sz w:val="16"/>
              </w:rPr>
              <w:t>Abond — Project Founder, Product Owner, and Market/Strategy Lead</w:t>
            </w:r>
          </w:p>
        </w:tc>
      </w:tr>
      <w:tr>
        <w:trPr>
          <w:cantSplit/>
        </w:trPr>
        <w:tc>
          <w:tcPr>
            <w:tcW w:type="dxa" w:w="2376"/>
            <w:tcMar>
              <w:top w:w="65" w:type="dxa"/>
              <w:start w:w="90" w:type="dxa"/>
              <w:bottom w:w="65" w:type="dxa"/>
              <w:end w:w="90" w:type="dxa"/>
            </w:tcMar>
            <w:shd w:fill="F3F5F7"/>
          </w:tcPr>
          <w:p>
            <w:pPr>
              <w:spacing w:after="0"/>
            </w:pPr>
            <w:r>
              <w:rPr>
                <w:rFonts w:ascii="Arial" w:hAnsi="Arial"/>
                <w:sz w:val="16"/>
              </w:rPr>
              <w:t>Audience</w:t>
            </w:r>
          </w:p>
        </w:tc>
        <w:tc>
          <w:tcPr>
            <w:tcW w:type="dxa" w:w="7992"/>
            <w:tcMar>
              <w:top w:w="65" w:type="dxa"/>
              <w:start w:w="90" w:type="dxa"/>
              <w:bottom w:w="65" w:type="dxa"/>
              <w:end w:w="90" w:type="dxa"/>
            </w:tcMar>
            <w:shd w:fill="F3F5F7"/>
          </w:tcPr>
          <w:p>
            <w:pPr>
              <w:spacing w:after="0"/>
            </w:pPr>
            <w:r>
              <w:rPr>
                <w:rFonts w:ascii="Arial" w:hAnsi="Arial"/>
                <w:sz w:val="16"/>
              </w:rPr>
              <w:t>Technical partners, quantitative researchers, quantitative developers, and future approved contributors</w:t>
            </w:r>
          </w:p>
        </w:tc>
      </w:tr>
      <w:tr>
        <w:trPr>
          <w:cantSplit/>
        </w:trPr>
        <w:tc>
          <w:tcPr>
            <w:tcW w:type="dxa" w:w="2376"/>
            <w:tcMar>
              <w:top w:w="65" w:type="dxa"/>
              <w:start w:w="90" w:type="dxa"/>
              <w:bottom w:w="65" w:type="dxa"/>
              <w:end w:w="90" w:type="dxa"/>
            </w:tcMar>
          </w:tcPr>
          <w:p>
            <w:pPr>
              <w:spacing w:after="0"/>
            </w:pPr>
            <w:r>
              <w:rPr>
                <w:rFonts w:ascii="Arial" w:hAnsi="Arial"/>
                <w:sz w:val="16"/>
              </w:rPr>
              <w:t>Status</w:t>
            </w:r>
          </w:p>
        </w:tc>
        <w:tc>
          <w:tcPr>
            <w:tcW w:type="dxa" w:w="7992"/>
            <w:tcMar>
              <w:top w:w="65" w:type="dxa"/>
              <w:start w:w="90" w:type="dxa"/>
              <w:bottom w:w="65" w:type="dxa"/>
              <w:end w:w="90" w:type="dxa"/>
            </w:tcMar>
          </w:tcPr>
          <w:p>
            <w:pPr>
              <w:spacing w:after="0"/>
            </w:pPr>
            <w:r>
              <w:rPr>
                <w:rFonts w:ascii="Arial" w:hAnsi="Arial"/>
                <w:sz w:val="16"/>
              </w:rPr>
              <w:t>Partner review draft</w:t>
            </w:r>
          </w:p>
        </w:tc>
      </w:tr>
      <w:tr>
        <w:trPr>
          <w:cantSplit/>
        </w:trPr>
        <w:tc>
          <w:tcPr>
            <w:tcW w:type="dxa" w:w="2376"/>
            <w:tcMar>
              <w:top w:w="65" w:type="dxa"/>
              <w:start w:w="90" w:type="dxa"/>
              <w:bottom w:w="65" w:type="dxa"/>
              <w:end w:w="90" w:type="dxa"/>
            </w:tcMar>
            <w:shd w:fill="F3F5F7"/>
          </w:tcPr>
          <w:p>
            <w:pPr>
              <w:spacing w:after="0"/>
            </w:pPr>
            <w:r>
              <w:rPr>
                <w:rFonts w:ascii="Arial" w:hAnsi="Arial"/>
                <w:sz w:val="16"/>
              </w:rPr>
              <w:t>Confidentiality</w:t>
            </w:r>
          </w:p>
        </w:tc>
        <w:tc>
          <w:tcPr>
            <w:tcW w:type="dxa" w:w="7992"/>
            <w:tcMar>
              <w:top w:w="65" w:type="dxa"/>
              <w:start w:w="90" w:type="dxa"/>
              <w:bottom w:w="65" w:type="dxa"/>
              <w:end w:w="90" w:type="dxa"/>
            </w:tcMar>
            <w:shd w:fill="F3F5F7"/>
          </w:tcPr>
          <w:p>
            <w:pPr>
              <w:spacing w:after="0"/>
            </w:pPr>
            <w:r>
              <w:rPr>
                <w:rFonts w:ascii="Arial" w:hAnsi="Arial"/>
                <w:sz w:val="16"/>
              </w:rPr>
              <w:t>Private and internal. Code, strategy logic, research outputs, and market data must not be redistributed without owner approval.</w:t>
            </w:r>
          </w:p>
        </w:tc>
      </w:tr>
      <w:tr>
        <w:trPr>
          <w:cantSplit/>
        </w:trPr>
        <w:tc>
          <w:tcPr>
            <w:tcW w:type="dxa" w:w="2376"/>
            <w:tcMar>
              <w:top w:w="65" w:type="dxa"/>
              <w:start w:w="90" w:type="dxa"/>
              <w:bottom w:w="65" w:type="dxa"/>
              <w:end w:w="90" w:type="dxa"/>
            </w:tcMar>
          </w:tcPr>
          <w:p>
            <w:pPr>
              <w:spacing w:after="0"/>
            </w:pPr>
            <w:r>
              <w:rPr>
                <w:rFonts w:ascii="Arial" w:hAnsi="Arial"/>
                <w:sz w:val="16"/>
              </w:rPr>
              <w:t>Primary product</w:t>
            </w:r>
          </w:p>
        </w:tc>
        <w:tc>
          <w:tcPr>
            <w:tcW w:type="dxa" w:w="7992"/>
            <w:tcMar>
              <w:top w:w="65" w:type="dxa"/>
              <w:start w:w="90" w:type="dxa"/>
              <w:bottom w:w="65" w:type="dxa"/>
              <w:end w:w="90" w:type="dxa"/>
            </w:tcMar>
          </w:tcPr>
          <w:p>
            <w:pPr>
              <w:spacing w:after="0"/>
            </w:pPr>
            <w:r>
              <w:rPr>
                <w:rFonts w:ascii="Arial" w:hAnsi="Arial"/>
                <w:sz w:val="16"/>
              </w:rPr>
              <w:t>A reproducible quantitative research, backtesting, risk-control, and execution platform for CME Gold futures</w:t>
            </w:r>
          </w:p>
        </w:tc>
      </w:tr>
      <w:tr>
        <w:trPr>
          <w:cantSplit/>
        </w:trPr>
        <w:tc>
          <w:tcPr>
            <w:tcW w:type="dxa" w:w="2376"/>
            <w:tcMar>
              <w:top w:w="65" w:type="dxa"/>
              <w:start w:w="90" w:type="dxa"/>
              <w:bottom w:w="65" w:type="dxa"/>
              <w:end w:w="90" w:type="dxa"/>
            </w:tcMar>
            <w:shd w:fill="F3F5F7"/>
          </w:tcPr>
          <w:p>
            <w:pPr>
              <w:spacing w:after="0"/>
            </w:pPr>
            <w:r>
              <w:rPr>
                <w:rFonts w:ascii="Arial" w:hAnsi="Arial"/>
                <w:sz w:val="16"/>
              </w:rPr>
              <w:t>Initial research instrument</w:t>
            </w:r>
          </w:p>
        </w:tc>
        <w:tc>
          <w:tcPr>
            <w:tcW w:type="dxa" w:w="7992"/>
            <w:tcMar>
              <w:top w:w="65" w:type="dxa"/>
              <w:start w:w="90" w:type="dxa"/>
              <w:bottom w:w="65" w:type="dxa"/>
              <w:end w:w="90" w:type="dxa"/>
            </w:tcMar>
            <w:shd w:fill="F3F5F7"/>
          </w:tcPr>
          <w:p>
            <w:pPr>
              <w:spacing w:after="0"/>
            </w:pPr>
            <w:r>
              <w:rPr>
                <w:rFonts w:ascii="Arial" w:hAnsi="Arial"/>
                <w:sz w:val="16"/>
              </w:rPr>
              <w:t>GC active/front-month continuous research series</w:t>
            </w:r>
          </w:p>
        </w:tc>
      </w:tr>
      <w:tr>
        <w:trPr>
          <w:cantSplit/>
        </w:trPr>
        <w:tc>
          <w:tcPr>
            <w:tcW w:type="dxa" w:w="2376"/>
            <w:tcMar>
              <w:top w:w="65" w:type="dxa"/>
              <w:start w:w="90" w:type="dxa"/>
              <w:bottom w:w="65" w:type="dxa"/>
              <w:end w:w="90" w:type="dxa"/>
            </w:tcMar>
          </w:tcPr>
          <w:p>
            <w:pPr>
              <w:spacing w:after="0"/>
            </w:pPr>
            <w:r>
              <w:rPr>
                <w:rFonts w:ascii="Arial" w:hAnsi="Arial"/>
                <w:sz w:val="16"/>
              </w:rPr>
              <w:t>Intended initial execution instrument</w:t>
            </w:r>
          </w:p>
        </w:tc>
        <w:tc>
          <w:tcPr>
            <w:tcW w:type="dxa" w:w="7992"/>
            <w:tcMar>
              <w:top w:w="65" w:type="dxa"/>
              <w:start w:w="90" w:type="dxa"/>
              <w:bottom w:w="65" w:type="dxa"/>
              <w:end w:w="90" w:type="dxa"/>
            </w:tcMar>
          </w:tcPr>
          <w:p>
            <w:pPr>
              <w:spacing w:after="0"/>
            </w:pPr>
            <w:r>
              <w:rPr>
                <w:rFonts w:ascii="Arial" w:hAnsi="Arial"/>
                <w:sz w:val="16"/>
              </w:rPr>
              <w:t>MGC, subject to explicit GC-to-MGC transfer and execution validation</w:t>
            </w:r>
          </w:p>
        </w:tc>
      </w:tr>
      <w:tr>
        <w:trPr>
          <w:cantSplit/>
        </w:trPr>
        <w:tc>
          <w:tcPr>
            <w:tcW w:type="dxa" w:w="2376"/>
            <w:tcMar>
              <w:top w:w="65" w:type="dxa"/>
              <w:start w:w="90" w:type="dxa"/>
              <w:bottom w:w="65" w:type="dxa"/>
              <w:end w:w="90" w:type="dxa"/>
            </w:tcMar>
            <w:shd w:fill="F3F5F7"/>
          </w:tcPr>
          <w:p>
            <w:pPr>
              <w:spacing w:after="0"/>
            </w:pPr>
            <w:r>
              <w:rPr>
                <w:rFonts w:ascii="Arial" w:hAnsi="Arial"/>
                <w:sz w:val="16"/>
              </w:rPr>
              <w:t>Initial data</w:t>
            </w:r>
          </w:p>
        </w:tc>
        <w:tc>
          <w:tcPr>
            <w:tcW w:type="dxa" w:w="7992"/>
            <w:tcMar>
              <w:top w:w="65" w:type="dxa"/>
              <w:start w:w="90" w:type="dxa"/>
              <w:bottom w:w="65" w:type="dxa"/>
              <w:end w:w="90" w:type="dxa"/>
            </w:tcMar>
            <w:shd w:fill="F3F5F7"/>
          </w:tcPr>
          <w:p>
            <w:pPr>
              <w:spacing w:after="0"/>
            </w:pPr>
            <w:r>
              <w:rPr>
                <w:rFonts w:ascii="Arial" w:hAnsi="Arial"/>
                <w:sz w:val="16"/>
              </w:rPr>
              <w:t>Databento GLBX.MDP3 one-minute OHLCV, 24 May 2021–24 May 2026; eligible statistical observations currently end 22 May 2026</w:t>
            </w:r>
          </w:p>
        </w:tc>
      </w:tr>
      <w:tr>
        <w:trPr>
          <w:cantSplit/>
        </w:trPr>
        <w:tc>
          <w:tcPr>
            <w:tcW w:type="dxa" w:w="2376"/>
            <w:tcMar>
              <w:top w:w="65" w:type="dxa"/>
              <w:start w:w="90" w:type="dxa"/>
              <w:bottom w:w="65" w:type="dxa"/>
              <w:end w:w="90" w:type="dxa"/>
            </w:tcMar>
          </w:tcPr>
          <w:p>
            <w:pPr>
              <w:spacing w:after="0"/>
            </w:pPr>
            <w:r>
              <w:rPr>
                <w:rFonts w:ascii="Arial" w:hAnsi="Arial"/>
                <w:sz w:val="16"/>
              </w:rPr>
              <w:t>Business timezone</w:t>
            </w:r>
          </w:p>
        </w:tc>
        <w:tc>
          <w:tcPr>
            <w:tcW w:type="dxa" w:w="7992"/>
            <w:tcMar>
              <w:top w:w="65" w:type="dxa"/>
              <w:start w:w="90" w:type="dxa"/>
              <w:bottom w:w="65" w:type="dxa"/>
              <w:end w:w="90" w:type="dxa"/>
            </w:tcMar>
          </w:tcPr>
          <w:p>
            <w:pPr>
              <w:spacing w:after="0"/>
            </w:pPr>
            <w:r>
              <w:rPr>
                <w:rFonts w:ascii="Arial" w:hAnsi="Arial"/>
                <w:sz w:val="16"/>
              </w:rPr>
              <w:t>America/New_York; UTC timestamps remain immutable join keys</w:t>
            </w:r>
          </w:p>
        </w:tc>
      </w:tr>
    </w:tbl>
    <w:p>
      <w:pPr>
        <w:spacing w:after="0"/>
        <w:widowControl/>
      </w:pPr>
    </w:p>
    <w:tbl>
      <w:tblPr>
        <w:tblW w:type="auto" w:w="0"/>
        <w:jc w:val="center"/>
        <w:tblLayout w:type="autofit"/>
        <w:tblLook w:firstColumn="1" w:firstRow="1" w:lastColumn="0" w:lastRow="0" w:noHBand="0" w:noVBand="1" w:val="04A0"/>
      </w:tblPr>
      <w:tblGrid>
        <w:gridCol w:w="9994"/>
      </w:tblGrid>
      <w:tr>
        <w:trPr>
          <w:cantSplit/>
        </w:trPr>
        <w:tc>
          <w:tcPr>
            <w:tcW w:type="dxa" w:w="9994"/>
            <w:shd w:fill="F7F0DE"/>
            <w:tcBorders>
              <w:top w:val="single" w:sz="10" w:color="B88A2A"/>
              <w:left w:val="single" w:sz="10" w:color="B88A2A"/>
              <w:bottom w:val="single" w:sz="10" w:color="B88A2A"/>
              <w:right w:val="single" w:sz="10" w:color="B88A2A"/>
            </w:tcBorders>
            <w:tcMar>
              <w:top w:w="100" w:type="dxa"/>
              <w:start w:w="130" w:type="dxa"/>
              <w:bottom w:w="100" w:type="dxa"/>
              <w:end w:w="130" w:type="dxa"/>
            </w:tcMar>
          </w:tcPr>
          <w:p>
            <w:pPr>
              <w:spacing w:after="40"/>
            </w:pPr>
            <w:r>
              <w:rPr>
                <w:rFonts w:ascii="Arial" w:hAnsi="Arial"/>
                <w:b/>
                <w:color w:val="172033"/>
                <w:sz w:val="19"/>
              </w:rPr>
              <w:t>How to read this PRD</w:t>
            </w:r>
          </w:p>
          <w:p>
            <w:pPr>
              <w:spacing w:after="0"/>
            </w:pPr>
            <w:r>
              <w:rPr>
                <w:rFonts w:ascii="Arial" w:hAnsi="Arial"/>
                <w:sz w:val="18"/>
              </w:rPr>
              <w:t>This document defines the target product, research rules, responsibilities, development sequence, and deployment gates. It intentionally separates the long-term vision from the current repository state so that new partners understand both what already exists and what remains unproven.</w:t>
            </w:r>
          </w:p>
        </w:tc>
      </w:tr>
    </w:tbl>
    <w:p>
      <w:pPr>
        <w:spacing w:after="0"/>
        <w:widowControl/>
      </w:pPr>
    </w:p>
    <w:p>
      <w:pPr>
        <w:pStyle w:val="Heading1"/>
        <w:pBdr>
          <w:bottom w:val="single" w:sz="8" w:space="3" w:color="B88A2A"/>
        </w:pBdr>
        <w:widowControl/>
      </w:pPr>
      <w:r>
        <w:rPr>
          <w:rFonts w:ascii="Arial" w:hAnsi="Arial"/>
          <w:b/>
          <w:color w:val="172033"/>
          <w:sz w:val="36"/>
        </w:rPr>
        <w:t>1. Executive Summary</w:t>
      </w:r>
    </w:p>
    <w:p>
      <w:pPr>
        <w:widowControl/>
      </w:pPr>
      <w:r>
        <w:rPr>
          <w:rFonts w:ascii="Arial" w:hAnsi="Arial"/>
          <w:i w:val="0"/>
        </w:rPr>
        <w:t>Quant Project 1 is an independent quantitative research and trading-system development programme focused on CME Gold Futures (GC) and Micro Gold Futures (MGC). Its purpose is to convert market hypotheses and discretionary trading knowledge into explicit, causal, testable, and eventually executable rules; discover additional statistical structure from market data; and integrate the strongest validated components into a hybrid trading system.</w:t>
      </w:r>
    </w:p>
    <w:p>
      <w:pPr>
        <w:widowControl/>
      </w:pPr>
      <w:r>
        <w:rPr>
          <w:rFonts w:ascii="Arial" w:hAnsi="Arial"/>
          <w:i w:val="0"/>
        </w:rPr>
        <w:t>The project is research-first. It does not begin from the assumption that an edge exists. The central objective is to determine whether any proposed behaviour remains economically meaningful after realistic execution costs, chronological out-of-sample testing, parameter sensitivity, risk constraints, and the operating rules of the selected futures funding evaluator or prop firm.</w:t>
      </w:r>
    </w:p>
    <w:p>
      <w:pPr>
        <w:widowControl/>
      </w:pPr>
      <w:r>
        <w:rPr>
          <w:rFonts w:ascii="Arial" w:hAnsi="Arial"/>
          <w:i w:val="0"/>
        </w:rPr>
        <w:t>GC is the primary Phase 1 research instrument because it is the benchmark Gold futures contract and is the established analysis instrument in the repository. MGC is the intended initial execution instrument because it is one-tenth the size of GC, with materially smaller tick value and capital commitment. This makes MGC more suitable for controlled risk, prop-firm drawdown limits, and early-stage capital. GC execution may become appropriate later as capital, risk tolerance, and operational maturity increase.</w:t>
      </w:r>
    </w:p>
    <w:p>
      <w:pPr>
        <w:widowControl/>
      </w:pPr>
      <w:r>
        <w:rPr>
          <w:rFonts w:ascii="Arial" w:hAnsi="Arial"/>
          <w:i w:val="0"/>
        </w:rPr>
        <w:t>The current repository already contains a validated data foundation, a liquidity-aware active-contract series, a formalized discretionary Point of Interest (POI) research branch, and an independent statistical-feature branch. However, it remains a research environment: no strategy has been approved for a sequential backtest or live trading, and production execution, position sizing, transaction-cost modelling, and GC-to-MGC execution mapping remain incomplete.</w:t>
      </w:r>
    </w:p>
    <w:tbl>
      <w:tblPr>
        <w:tblW w:type="auto" w:w="0"/>
        <w:jc w:val="center"/>
        <w:tblLayout w:type="autofit"/>
        <w:tblLook w:firstColumn="1" w:firstRow="1" w:lastColumn="0" w:lastRow="0" w:noHBand="0" w:noVBand="1" w:val="04A0"/>
      </w:tblPr>
      <w:tblGrid>
        <w:gridCol w:w="9994"/>
      </w:tblGrid>
      <w:tr>
        <w:trPr>
          <w:cantSplit/>
        </w:trPr>
        <w:tc>
          <w:tcPr>
            <w:tcW w:type="dxa" w:w="9994"/>
            <w:shd w:fill="F7F0DE"/>
            <w:tcBorders>
              <w:top w:val="single" w:sz="10" w:color="B88A2A"/>
              <w:left w:val="single" w:sz="10" w:color="B88A2A"/>
              <w:bottom w:val="single" w:sz="10" w:color="B88A2A"/>
              <w:right w:val="single" w:sz="10" w:color="B88A2A"/>
            </w:tcBorders>
            <w:tcMar>
              <w:top w:w="100" w:type="dxa"/>
              <w:start w:w="130" w:type="dxa"/>
              <w:bottom w:w="100" w:type="dxa"/>
              <w:end w:w="130" w:type="dxa"/>
            </w:tcMar>
          </w:tcPr>
          <w:p>
            <w:pPr>
              <w:spacing w:after="40"/>
            </w:pPr>
            <w:r>
              <w:rPr>
                <w:rFonts w:ascii="Arial" w:hAnsi="Arial"/>
                <w:b/>
                <w:color w:val="172033"/>
                <w:sz w:val="19"/>
              </w:rPr>
              <w:t>Product statement</w:t>
            </w:r>
          </w:p>
          <w:p>
            <w:pPr>
              <w:spacing w:after="0"/>
            </w:pPr>
            <w:r>
              <w:rPr>
                <w:rFonts w:ascii="Arial" w:hAnsi="Arial"/>
                <w:sz w:val="18"/>
              </w:rPr>
              <w:t>Build a reproducible, risk-aware quantitative platform that translates market expertise into testable rules, independently searches for statistical structure, validates all candidate systems under realistic historical and forward conditions, and deploys only strategies that satisfy predeclared research, risk, prop-firm, and operational gates.</w:t>
            </w:r>
          </w:p>
        </w:tc>
      </w:tr>
    </w:tbl>
    <w:p>
      <w:pPr>
        <w:spacing w:after="0"/>
        <w:widowControl/>
      </w:pPr>
    </w:p>
    <w:p>
      <w:pPr>
        <w:pStyle w:val="Heading1"/>
        <w:pBdr>
          <w:bottom w:val="single" w:sz="8" w:space="3" w:color="B88A2A"/>
        </w:pBdr>
        <w:widowControl/>
      </w:pPr>
      <w:r>
        <w:rPr>
          <w:rFonts w:ascii="Arial" w:hAnsi="Arial"/>
          <w:b/>
          <w:color w:val="172033"/>
          <w:sz w:val="36"/>
        </w:rPr>
        <w:t>2. Vision, Mission, and Product Principles</w:t>
      </w:r>
    </w:p>
    <w:p>
      <w:pPr>
        <w:pStyle w:val="Heading2"/>
        <w:widowControl/>
      </w:pPr>
      <w:r>
        <w:t>Vision</w:t>
      </w:r>
    </w:p>
    <w:p>
      <w:pPr>
        <w:widowControl/>
      </w:pPr>
      <w:r>
        <w:rPr>
          <w:rFonts w:ascii="Arial" w:hAnsi="Arial"/>
          <w:i w:val="0"/>
        </w:rPr>
        <w:t>Develop a durable hybrid Gold-futures trading capability in which systematic research, disciplined execution, and informed market interpretation reinforce one another rather than compete.</w:t>
      </w:r>
    </w:p>
    <w:p>
      <w:pPr>
        <w:pStyle w:val="Heading2"/>
        <w:widowControl/>
      </w:pPr>
      <w:r>
        <w:t>Mission</w:t>
      </w:r>
    </w:p>
    <w:p>
      <w:pPr>
        <w:widowControl/>
      </w:pPr>
      <w:r>
        <w:rPr>
          <w:rFonts w:ascii="Arial" w:hAnsi="Arial"/>
          <w:i w:val="0"/>
        </w:rPr>
        <w:t>Independently research, engineer, validate, and operate one or more systematic intraday futures strategies that can be executed consistently by software, initially under the constraints of futures prop firms and ultimately with proprietary capital.</w:t>
      </w:r>
    </w:p>
    <w:p>
      <w:pPr>
        <w:pStyle w:val="Heading2"/>
        <w:widowControl/>
      </w:pPr>
      <w:r>
        <w:t>Core principles</w:t>
      </w:r>
    </w:p>
    <w:p>
      <w:pPr>
        <w:pStyle w:val="ListBullet"/>
        <w:spacing w:after="40"/>
        <w:ind w:left="317" w:hanging="173"/>
        <w:widowControl/>
      </w:pPr>
      <w:r>
        <w:rPr>
          <w:rFonts w:ascii="Arial" w:hAnsi="Arial"/>
        </w:rPr>
        <w:t>Evidence before conviction: market intuition may generate hypotheses, but only reproducible evidence can approve a rule for backtesting or deployment.</w:t>
      </w:r>
    </w:p>
    <w:p>
      <w:pPr>
        <w:pStyle w:val="ListBullet"/>
        <w:spacing w:after="40"/>
        <w:ind w:left="317" w:hanging="173"/>
        <w:widowControl/>
      </w:pPr>
      <w:r>
        <w:rPr>
          <w:rFonts w:ascii="Arial" w:hAnsi="Arial"/>
        </w:rPr>
        <w:t>Causality before performance: every feature and signal must use only information available at the decision time.</w:t>
      </w:r>
    </w:p>
    <w:p>
      <w:pPr>
        <w:pStyle w:val="ListBullet"/>
        <w:spacing w:after="40"/>
        <w:ind w:left="317" w:hanging="173"/>
        <w:widowControl/>
      </w:pPr>
      <w:r>
        <w:rPr>
          <w:rFonts w:ascii="Arial" w:hAnsi="Arial"/>
        </w:rPr>
        <w:t>Economic value before statistical novelty: a small p-value is not an edge unless the effect survives costs, drawdowns, and executable trade sequencing.</w:t>
      </w:r>
    </w:p>
    <w:p>
      <w:pPr>
        <w:pStyle w:val="ListBullet"/>
        <w:spacing w:after="40"/>
        <w:ind w:left="317" w:hanging="173"/>
        <w:widowControl/>
      </w:pPr>
      <w:r>
        <w:rPr>
          <w:rFonts w:ascii="Arial" w:hAnsi="Arial"/>
        </w:rPr>
        <w:t>Simple before complex: interpretable, stable rules are preferred over fragile complexity with marginal in-sample gains.</w:t>
      </w:r>
    </w:p>
    <w:p>
      <w:pPr>
        <w:pStyle w:val="ListBullet"/>
        <w:spacing w:after="40"/>
        <w:ind w:left="317" w:hanging="173"/>
        <w:widowControl/>
      </w:pPr>
      <w:r>
        <w:rPr>
          <w:rFonts w:ascii="Arial" w:hAnsi="Arial"/>
        </w:rPr>
        <w:t>Risk is a product requirement: position limits, daily loss controls, prop-firm constraints, and kill switches are part of the system design, not an afterthought.</w:t>
      </w:r>
    </w:p>
    <w:p>
      <w:pPr>
        <w:pStyle w:val="ListBullet"/>
        <w:spacing w:after="40"/>
        <w:ind w:left="317" w:hanging="173"/>
        <w:widowControl/>
      </w:pPr>
      <w:r>
        <w:rPr>
          <w:rFonts w:ascii="Arial" w:hAnsi="Arial"/>
        </w:rPr>
        <w:t>Research and execution are separate layers: event studies, forward labels, and attractive charts are not equivalent to a stateful sequential backtest or live system.</w:t>
      </w:r>
    </w:p>
    <w:p>
      <w:pPr>
        <w:pStyle w:val="ListBullet"/>
        <w:spacing w:after="40"/>
        <w:ind w:left="317" w:hanging="173"/>
        <w:widowControl/>
      </w:pPr>
      <w:r>
        <w:rPr>
          <w:rFonts w:ascii="Arial" w:hAnsi="Arial"/>
        </w:rPr>
        <w:t>No performance guarantee: the project may reject many ideas and may conclude that a proposed strategy has no durable edge.</w:t>
      </w:r>
    </w:p>
    <w:p>
      <w:pPr>
        <w:pStyle w:val="Heading1"/>
        <w:pBdr>
          <w:bottom w:val="single" w:sz="8" w:space="3" w:color="B88A2A"/>
        </w:pBdr>
        <w:widowControl/>
      </w:pPr>
      <w:r>
        <w:rPr>
          <w:rFonts w:ascii="Arial" w:hAnsi="Arial"/>
          <w:b/>
          <w:color w:val="172033"/>
          <w:sz w:val="36"/>
        </w:rPr>
        <w:t>3. Problem Statement and Opportunity</w:t>
      </w:r>
    </w:p>
    <w:p>
      <w:pPr>
        <w:pStyle w:val="Heading2"/>
        <w:widowControl/>
      </w:pPr>
      <w:r>
        <w:t>The problem</w:t>
      </w:r>
    </w:p>
    <w:p>
      <w:pPr>
        <w:widowControl/>
      </w:pPr>
      <w:r>
        <w:rPr>
          <w:rFonts w:ascii="Arial" w:hAnsi="Arial"/>
          <w:i w:val="0"/>
        </w:rPr>
        <w:t>Discretionary trading can contain genuine market insight, but it often relies on tacit judgement, inconsistent definitions, selective memory, and execution that varies with fatigue, emotion, or context. Purely statistical research can improve consistency, but it can also overfit historical noise, ignore market mechanics, or produce signals that are difficult to execute.</w:t>
      </w:r>
    </w:p>
    <w:p>
      <w:pPr>
        <w:widowControl/>
      </w:pPr>
      <w:r>
        <w:rPr>
          <w:rFonts w:ascii="Arial" w:hAnsi="Arial"/>
          <w:i w:val="0"/>
        </w:rPr>
        <w:t>The project addresses this by building a common research and execution framework in which discretionary concepts are formalized into machine-readable rules, independent statistical features are evaluated without contamination from the discretionary branch, and all candidate systems are subjected to identical execution, risk, and validation standards.</w:t>
      </w:r>
    </w:p>
    <w:p>
      <w:pPr>
        <w:pStyle w:val="Heading2"/>
        <w:widowControl/>
      </w:pPr>
      <w:r>
        <w:t>The opportunity</w:t>
      </w:r>
    </w:p>
    <w:p>
      <w:pPr>
        <w:widowControl/>
      </w:pPr>
      <w:r>
        <w:rPr>
          <w:rFonts w:ascii="Arial" w:hAnsi="Arial"/>
          <w:i w:val="0"/>
        </w:rPr>
        <w:t>Gold futures offer a liquid, centrally cleared market with a benchmark contract (GC) and a smaller execution contract (MGC). The project can use the liquidity and price-discovery characteristics of GC for research while using the smaller MGC contract to express the same market thesis with finer risk control. The approach also creates a practical path from research to prop-firm capital, provided the system is explicitly engineered around each firm’s rules and does not rely on unrealistic fills or excessive leverage.</w:t>
      </w:r>
    </w:p>
    <w:p>
      <w:pPr>
        <w:pStyle w:val="Heading1"/>
        <w:pBdr>
          <w:bottom w:val="single" w:sz="8" w:space="3" w:color="B88A2A"/>
        </w:pBdr>
        <w:widowControl/>
      </w:pPr>
      <w:r>
        <w:rPr>
          <w:rFonts w:ascii="Arial" w:hAnsi="Arial"/>
          <w:b/>
          <w:color w:val="172033"/>
          <w:sz w:val="36"/>
        </w:rPr>
        <w:t>4. Objectives, Success Definition, and Non-Goals</w:t>
      </w:r>
    </w:p>
    <w:p>
      <w:pPr>
        <w:pStyle w:val="Heading2"/>
        <w:widowControl/>
      </w:pPr>
      <w:r>
        <w:t>Primary objectives</w:t>
      </w:r>
    </w:p>
    <w:p>
      <w:pPr>
        <w:spacing w:after="40"/>
        <w:ind w:left="346" w:hanging="259"/>
        <w:widowControl/>
      </w:pPr>
      <w:r>
        <w:rPr>
          <w:rFonts w:ascii="Arial" w:hAnsi="Arial"/>
          <w:b/>
          <w:color w:val="172033"/>
        </w:rPr>
        <w:t xml:space="preserve">1. </w:t>
      </w:r>
      <w:r>
        <w:rPr>
          <w:rFonts w:ascii="Arial" w:hAnsi="Arial"/>
        </w:rPr>
        <w:t>Formalize discretionary Gold-futures concepts, including POIs, trend context, displacement, retests, invalidation, entries, stops, targets, and time exits, into deterministic definitions.</w:t>
      </w:r>
    </w:p>
    <w:p>
      <w:pPr>
        <w:spacing w:after="40"/>
        <w:ind w:left="346" w:hanging="259"/>
        <w:widowControl/>
      </w:pPr>
      <w:r>
        <w:rPr>
          <w:rFonts w:ascii="Arial" w:hAnsi="Arial"/>
          <w:b/>
          <w:color w:val="172033"/>
        </w:rPr>
        <w:t xml:space="preserve">2. </w:t>
      </w:r>
      <w:r>
        <w:rPr>
          <w:rFonts w:ascii="Arial" w:hAnsi="Arial"/>
        </w:rPr>
        <w:t>Independently research causal statistical features derived from one-minute OHLCV and time/session context without using POI-derived information during discovery.</w:t>
      </w:r>
    </w:p>
    <w:p>
      <w:pPr>
        <w:spacing w:after="40"/>
        <w:ind w:left="346" w:hanging="259"/>
        <w:widowControl/>
      </w:pPr>
      <w:r>
        <w:rPr>
          <w:rFonts w:ascii="Arial" w:hAnsi="Arial"/>
          <w:b/>
          <w:color w:val="172033"/>
        </w:rPr>
        <w:t xml:space="preserve">3. </w:t>
      </w:r>
      <w:r>
        <w:rPr>
          <w:rFonts w:ascii="Arial" w:hAnsi="Arial"/>
        </w:rPr>
        <w:t>Develop one or more stateful sequential backtests that model order timing, costs, slippage, ambiguity, position state, rollover, daily limits, and forced exits.</w:t>
      </w:r>
    </w:p>
    <w:p>
      <w:pPr>
        <w:spacing w:after="40"/>
        <w:ind w:left="346" w:hanging="259"/>
        <w:widowControl/>
      </w:pPr>
      <w:r>
        <w:rPr>
          <w:rFonts w:ascii="Arial" w:hAnsi="Arial"/>
          <w:b/>
          <w:color w:val="172033"/>
        </w:rPr>
        <w:t xml:space="preserve">4. </w:t>
      </w:r>
      <w:r>
        <w:rPr>
          <w:rFonts w:ascii="Arial" w:hAnsi="Arial"/>
        </w:rPr>
        <w:t>Validate whether signals discovered on GC can be mapped to MGC execution without unacceptable divergence, liquidity degradation, spread cost, or fill risk.</w:t>
      </w:r>
    </w:p>
    <w:p>
      <w:pPr>
        <w:spacing w:after="40"/>
        <w:ind w:left="346" w:hanging="259"/>
        <w:widowControl/>
      </w:pPr>
      <w:r>
        <w:rPr>
          <w:rFonts w:ascii="Arial" w:hAnsi="Arial"/>
          <w:b/>
          <w:color w:val="172033"/>
        </w:rPr>
        <w:t xml:space="preserve">5. </w:t>
      </w:r>
      <w:r>
        <w:rPr>
          <w:rFonts w:ascii="Arial" w:hAnsi="Arial"/>
        </w:rPr>
        <w:t>Create a configurable prop-firm rules engine that can simulate evaluation and funded-account constraints without hard-coding one provider.</w:t>
      </w:r>
    </w:p>
    <w:p>
      <w:pPr>
        <w:spacing w:after="40"/>
        <w:ind w:left="346" w:hanging="259"/>
        <w:widowControl/>
      </w:pPr>
      <w:r>
        <w:rPr>
          <w:rFonts w:ascii="Arial" w:hAnsi="Arial"/>
          <w:b/>
          <w:color w:val="172033"/>
        </w:rPr>
        <w:t xml:space="preserve">6. </w:t>
      </w:r>
      <w:r>
        <w:rPr>
          <w:rFonts w:ascii="Arial" w:hAnsi="Arial"/>
        </w:rPr>
        <w:t>Forward test the frozen strategy and risk engine in the Rithmic paper environment before any live or funded deployment.</w:t>
      </w:r>
    </w:p>
    <w:p>
      <w:pPr>
        <w:spacing w:after="40"/>
        <w:ind w:left="346" w:hanging="259"/>
        <w:widowControl/>
      </w:pPr>
      <w:r>
        <w:rPr>
          <w:rFonts w:ascii="Arial" w:hAnsi="Arial"/>
          <w:b/>
          <w:color w:val="172033"/>
        </w:rPr>
        <w:t xml:space="preserve">7. </w:t>
      </w:r>
      <w:r>
        <w:rPr>
          <w:rFonts w:ascii="Arial" w:hAnsi="Arial"/>
        </w:rPr>
        <w:t>Build a hybrid system only after the independent statistical branch and the discretionary POI branch have each been evaluated and frozen under their own rules.</w:t>
      </w:r>
    </w:p>
    <w:p>
      <w:pPr>
        <w:spacing w:after="40"/>
        <w:ind w:left="346" w:hanging="259"/>
        <w:widowControl/>
      </w:pPr>
      <w:r>
        <w:rPr>
          <w:rFonts w:ascii="Arial" w:hAnsi="Arial"/>
          <w:b/>
          <w:color w:val="172033"/>
        </w:rPr>
        <w:t xml:space="preserve">8. </w:t>
      </w:r>
      <w:r>
        <w:rPr>
          <w:rFonts w:ascii="Arial" w:hAnsi="Arial"/>
        </w:rPr>
        <w:t>Establish a maintainable collaborative codebase with versioned research artifacts, tests, documented decisions, and reproducible runs.</w:t>
      </w:r>
    </w:p>
    <w:p>
      <w:pPr>
        <w:pStyle w:val="Heading2"/>
        <w:widowControl/>
      </w:pPr>
      <w:r>
        <w:t>Success is not defined as “finding a profitable backtest.”</w:t>
      </w:r>
    </w:p>
    <w:p>
      <w:pPr>
        <w:widowControl/>
      </w:pPr>
      <w:r>
        <w:rPr>
          <w:rFonts w:ascii="Arial" w:hAnsi="Arial"/>
          <w:i w:val="0"/>
        </w:rPr>
        <w:t>A successful project produces a trustworthy research and execution process. A deployable strategy must show positive net expectancy and acceptable risk under predeclared rules, but rejecting an attractive-looking strategy because it fails validation is also a successful research outcome.</w:t>
      </w:r>
    </w:p>
    <w:p>
      <w:pPr>
        <w:pStyle w:val="Heading2"/>
        <w:widowControl/>
      </w:pPr>
      <w:r>
        <w:t>Current non-goals</w:t>
      </w:r>
    </w:p>
    <w:p>
      <w:pPr>
        <w:pStyle w:val="ListBullet"/>
        <w:spacing w:after="40"/>
        <w:ind w:left="317" w:hanging="173"/>
        <w:widowControl/>
      </w:pPr>
      <w:r>
        <w:rPr>
          <w:rFonts w:ascii="Arial" w:hAnsi="Arial"/>
        </w:rPr>
        <w:t>High-frequency trading, market making, latency arbitrage, or sub-millisecond competition.</w:t>
      </w:r>
    </w:p>
    <w:p>
      <w:pPr>
        <w:pStyle w:val="ListBullet"/>
        <w:spacing w:after="40"/>
        <w:ind w:left="317" w:hanging="173"/>
        <w:widowControl/>
      </w:pPr>
      <w:r>
        <w:rPr>
          <w:rFonts w:ascii="Arial" w:hAnsi="Arial"/>
        </w:rPr>
        <w:t>Initial live execution in standard GC before capital and risk capacity justify the tenfold contract exposure.</w:t>
      </w:r>
    </w:p>
    <w:p>
      <w:pPr>
        <w:pStyle w:val="ListBullet"/>
        <w:spacing w:after="40"/>
        <w:ind w:left="317" w:hanging="173"/>
        <w:widowControl/>
      </w:pPr>
      <w:r>
        <w:rPr>
          <w:rFonts w:ascii="Arial" w:hAnsi="Arial"/>
        </w:rPr>
        <w:t>Forex or CFD execution; the initial focus is exchange-traded futures with a consistent underlying market.</w:t>
      </w:r>
    </w:p>
    <w:p>
      <w:pPr>
        <w:pStyle w:val="ListBullet"/>
        <w:spacing w:after="40"/>
        <w:ind w:left="317" w:hanging="173"/>
        <w:widowControl/>
      </w:pPr>
      <w:r>
        <w:rPr>
          <w:rFonts w:ascii="Arial" w:hAnsi="Arial"/>
        </w:rPr>
        <w:t>Overnight positions in the first intraday system.</w:t>
      </w:r>
    </w:p>
    <w:p>
      <w:pPr>
        <w:pStyle w:val="ListBullet"/>
        <w:spacing w:after="40"/>
        <w:ind w:left="317" w:hanging="173"/>
        <w:widowControl/>
      </w:pPr>
      <w:r>
        <w:rPr>
          <w:rFonts w:ascii="Arial" w:hAnsi="Arial"/>
        </w:rPr>
        <w:t>Options, multi-asset portfolio construction, or cross-market statistical arbitrage in the initial scope.</w:t>
      </w:r>
    </w:p>
    <w:p>
      <w:pPr>
        <w:pStyle w:val="ListBullet"/>
        <w:spacing w:after="40"/>
        <w:ind w:left="317" w:hanging="173"/>
        <w:widowControl/>
      </w:pPr>
      <w:r>
        <w:rPr>
          <w:rFonts w:ascii="Arial" w:hAnsi="Arial"/>
        </w:rPr>
        <w:t>MBO-based production research in Phase 1; order-book work is a future programme after storage, compute, data, and engineering budgets are approved.</w:t>
      </w:r>
    </w:p>
    <w:p>
      <w:pPr>
        <w:pStyle w:val="ListBullet"/>
        <w:spacing w:after="40"/>
        <w:ind w:left="317" w:hanging="173"/>
        <w:widowControl/>
      </w:pPr>
      <w:r>
        <w:rPr>
          <w:rFonts w:ascii="Arial" w:hAnsi="Arial"/>
        </w:rPr>
        <w:t>Allowing discretionary overrides to alter live decisions without being logged, governed, and separately evaluated.</w:t>
      </w:r>
    </w:p>
    <w:p>
      <w:pPr>
        <w:pStyle w:val="Heading1"/>
        <w:pBdr>
          <w:bottom w:val="single" w:sz="8" w:space="3" w:color="B88A2A"/>
        </w:pBdr>
        <w:widowControl/>
      </w:pPr>
      <w:r>
        <w:rPr>
          <w:rFonts w:ascii="Arial" w:hAnsi="Arial"/>
          <w:b/>
          <w:color w:val="172033"/>
          <w:sz w:val="36"/>
        </w:rPr>
        <w:t>5. Stakeholders, Roles, and Decision Rights</w:t>
      </w:r>
    </w:p>
    <w:p>
      <w:pPr>
        <w:widowControl/>
      </w:pPr>
      <w:r>
        <w:rPr>
          <w:rFonts w:ascii="Arial" w:hAnsi="Arial"/>
          <w:i w:val="0"/>
        </w:rPr>
        <w:t>The project is designed for complementary expertise. Abond supplies the market thesis, discretionary trading knowledge, product direction, and strategy interpretation. The partners bring advanced computer-science and software-engineering capability. All members are expected to challenge one another constructively; no individual’s intuition overrides research integrity or risk controls.</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trPr>
        <w:tc>
          <w:tcPr>
            <w:tcW w:type="dxa" w:w="2304"/>
            <w:shd w:fill="172033"/>
            <w:tcMar>
              <w:top w:w="75" w:type="dxa"/>
              <w:start w:w="90" w:type="dxa"/>
              <w:bottom w:w="75" w:type="dxa"/>
              <w:end w:w="90" w:type="dxa"/>
            </w:tcMar>
            <w:vAlign w:val="center"/>
          </w:tcPr>
          <w:p>
            <w:pPr>
              <w:jc w:val="left"/>
            </w:pPr>
            <w:r>
              <w:rPr>
                <w:rFonts w:ascii="Arial" w:hAnsi="Arial"/>
                <w:b/>
                <w:color w:val="FFFFFF"/>
                <w:sz w:val="16"/>
              </w:rPr>
              <w:t>Role</w:t>
            </w:r>
          </w:p>
        </w:tc>
        <w:tc>
          <w:tcPr>
            <w:tcW w:type="dxa" w:w="5616"/>
            <w:shd w:fill="172033"/>
            <w:tcMar>
              <w:top w:w="75" w:type="dxa"/>
              <w:start w:w="90" w:type="dxa"/>
              <w:bottom w:w="75" w:type="dxa"/>
              <w:end w:w="90" w:type="dxa"/>
            </w:tcMar>
            <w:vAlign w:val="center"/>
          </w:tcPr>
          <w:p>
            <w:pPr>
              <w:jc w:val="left"/>
            </w:pPr>
            <w:r>
              <w:rPr>
                <w:rFonts w:ascii="Arial" w:hAnsi="Arial"/>
                <w:b/>
                <w:color w:val="FFFFFF"/>
                <w:sz w:val="16"/>
              </w:rPr>
              <w:t>Primary responsibilities</w:t>
            </w:r>
          </w:p>
        </w:tc>
        <w:tc>
          <w:tcPr>
            <w:tcW w:type="dxa" w:w="2448"/>
            <w:shd w:fill="172033"/>
            <w:tcMar>
              <w:top w:w="75" w:type="dxa"/>
              <w:start w:w="90" w:type="dxa"/>
              <w:bottom w:w="75" w:type="dxa"/>
              <w:end w:w="90" w:type="dxa"/>
            </w:tcMar>
            <w:vAlign w:val="center"/>
          </w:tcPr>
          <w:p>
            <w:pPr>
              <w:jc w:val="left"/>
            </w:pPr>
            <w:r>
              <w:rPr>
                <w:rFonts w:ascii="Arial" w:hAnsi="Arial"/>
                <w:b/>
                <w:color w:val="FFFFFF"/>
                <w:sz w:val="16"/>
              </w:rPr>
              <w:t>Decision rights</w:t>
            </w:r>
          </w:p>
        </w:tc>
      </w:tr>
      <w:tr>
        <w:trPr>
          <w:cantSplit/>
        </w:trPr>
        <w:tc>
          <w:tcPr>
            <w:tcW w:type="dxa" w:w="2304"/>
            <w:tcMar>
              <w:top w:w="65" w:type="dxa"/>
              <w:start w:w="90" w:type="dxa"/>
              <w:bottom w:w="65" w:type="dxa"/>
              <w:end w:w="90" w:type="dxa"/>
            </w:tcMar>
          </w:tcPr>
          <w:p>
            <w:pPr>
              <w:spacing w:after="0"/>
            </w:pPr>
            <w:r>
              <w:rPr>
                <w:rFonts w:ascii="Arial" w:hAnsi="Arial"/>
                <w:sz w:val="15"/>
              </w:rPr>
              <w:t>Project Founder / Product Owner / Market &amp; Strategy Lead — Abond</w:t>
            </w:r>
          </w:p>
        </w:tc>
        <w:tc>
          <w:tcPr>
            <w:tcW w:type="dxa" w:w="5616"/>
            <w:tcMar>
              <w:top w:w="65" w:type="dxa"/>
              <w:start w:w="90" w:type="dxa"/>
              <w:bottom w:w="65" w:type="dxa"/>
              <w:end w:w="90" w:type="dxa"/>
            </w:tcMar>
          </w:tcPr>
          <w:p>
            <w:pPr>
              <w:spacing w:after="0"/>
            </w:pPr>
            <w:r>
              <w:rPr>
                <w:rFonts w:ascii="Arial" w:hAnsi="Arial"/>
                <w:sz w:val="15"/>
              </w:rPr>
              <w:t>Owns product vision, discretionary strategy source material, market interpretation, research priorities, risk appetite, prop-firm business path, and final acceptance of whether the encoded rules faithfully represent the intended trading logic.</w:t>
            </w:r>
          </w:p>
        </w:tc>
        <w:tc>
          <w:tcPr>
            <w:tcW w:type="dxa" w:w="2448"/>
            <w:tcMar>
              <w:top w:w="65" w:type="dxa"/>
              <w:start w:w="90" w:type="dxa"/>
              <w:bottom w:w="65" w:type="dxa"/>
              <w:end w:w="90" w:type="dxa"/>
            </w:tcMar>
          </w:tcPr>
          <w:p>
            <w:pPr>
              <w:spacing w:after="0"/>
            </w:pPr>
            <w:r>
              <w:rPr>
                <w:rFonts w:ascii="Arial" w:hAnsi="Arial"/>
                <w:sz w:val="15"/>
              </w:rPr>
              <w:t>Final authority on product scope and discretionary-rule meaning. May not waive research, risk, or live-deployment gates unilaterally.</w:t>
            </w:r>
          </w:p>
        </w:tc>
      </w:tr>
      <w:tr>
        <w:trPr>
          <w:cantSplit/>
        </w:trPr>
        <w:tc>
          <w:tcPr>
            <w:tcW w:type="dxa" w:w="2304"/>
            <w:tcMar>
              <w:top w:w="65" w:type="dxa"/>
              <w:start w:w="90" w:type="dxa"/>
              <w:bottom w:w="65" w:type="dxa"/>
              <w:end w:w="90" w:type="dxa"/>
            </w:tcMar>
            <w:shd w:fill="F3F5F7"/>
          </w:tcPr>
          <w:p>
            <w:pPr>
              <w:spacing w:after="0"/>
            </w:pPr>
            <w:r>
              <w:rPr>
                <w:rFonts w:ascii="Arial" w:hAnsi="Arial"/>
                <w:sz w:val="15"/>
              </w:rPr>
              <w:t>Quant Research &amp; Validation Lead — partner allocation</w:t>
            </w:r>
          </w:p>
        </w:tc>
        <w:tc>
          <w:tcPr>
            <w:tcW w:type="dxa" w:w="5616"/>
            <w:tcMar>
              <w:top w:w="65" w:type="dxa"/>
              <w:start w:w="90" w:type="dxa"/>
              <w:bottom w:w="65" w:type="dxa"/>
              <w:end w:w="90" w:type="dxa"/>
            </w:tcMar>
            <w:shd w:fill="F3F5F7"/>
          </w:tcPr>
          <w:p>
            <w:pPr>
              <w:spacing w:after="0"/>
            </w:pPr>
            <w:r>
              <w:rPr>
                <w:rFonts w:ascii="Arial" w:hAnsi="Arial"/>
                <w:sz w:val="15"/>
              </w:rPr>
              <w:t>Owns experimental design, feature evaluation, leakage control, statistical tests, validation partitions, robustness analysis, research reports, and model governance.</w:t>
            </w:r>
          </w:p>
        </w:tc>
        <w:tc>
          <w:tcPr>
            <w:tcW w:type="dxa" w:w="2448"/>
            <w:tcMar>
              <w:top w:w="65" w:type="dxa"/>
              <w:start w:w="90" w:type="dxa"/>
              <w:bottom w:w="65" w:type="dxa"/>
              <w:end w:w="90" w:type="dxa"/>
            </w:tcMar>
            <w:shd w:fill="F3F5F7"/>
          </w:tcPr>
          <w:p>
            <w:pPr>
              <w:spacing w:after="0"/>
            </w:pPr>
            <w:r>
              <w:rPr>
                <w:rFonts w:ascii="Arial" w:hAnsi="Arial"/>
                <w:sz w:val="15"/>
              </w:rPr>
              <w:t>May block advancement of a signal that is statistically invalid, overfit, insufficiently documented, or economically unsupported.</w:t>
            </w:r>
          </w:p>
        </w:tc>
      </w:tr>
      <w:tr>
        <w:trPr>
          <w:cantSplit/>
        </w:trPr>
        <w:tc>
          <w:tcPr>
            <w:tcW w:type="dxa" w:w="2304"/>
            <w:tcMar>
              <w:top w:w="65" w:type="dxa"/>
              <w:start w:w="90" w:type="dxa"/>
              <w:bottom w:w="65" w:type="dxa"/>
              <w:end w:w="90" w:type="dxa"/>
            </w:tcMar>
          </w:tcPr>
          <w:p>
            <w:pPr>
              <w:spacing w:after="0"/>
            </w:pPr>
            <w:r>
              <w:rPr>
                <w:rFonts w:ascii="Arial" w:hAnsi="Arial"/>
                <w:sz w:val="15"/>
              </w:rPr>
              <w:t>Quant Platform &amp; Execution Lead — partner allocation</w:t>
            </w:r>
          </w:p>
        </w:tc>
        <w:tc>
          <w:tcPr>
            <w:tcW w:type="dxa" w:w="5616"/>
            <w:tcMar>
              <w:top w:w="65" w:type="dxa"/>
              <w:start w:w="90" w:type="dxa"/>
              <w:bottom w:w="65" w:type="dxa"/>
              <w:end w:w="90" w:type="dxa"/>
            </w:tcMar>
          </w:tcPr>
          <w:p>
            <w:pPr>
              <w:spacing w:after="0"/>
            </w:pPr>
            <w:r>
              <w:rPr>
                <w:rFonts w:ascii="Arial" w:hAnsi="Arial"/>
                <w:sz w:val="15"/>
              </w:rPr>
              <w:t>Owns data pipelines, backtest architecture, performance engineering, broker/Rithmic integration, order state, monitoring, logging, deployment, and operational resilience.</w:t>
            </w:r>
          </w:p>
        </w:tc>
        <w:tc>
          <w:tcPr>
            <w:tcW w:type="dxa" w:w="2448"/>
            <w:tcMar>
              <w:top w:w="65" w:type="dxa"/>
              <w:start w:w="90" w:type="dxa"/>
              <w:bottom w:w="65" w:type="dxa"/>
              <w:end w:w="90" w:type="dxa"/>
            </w:tcMar>
          </w:tcPr>
          <w:p>
            <w:pPr>
              <w:spacing w:after="0"/>
            </w:pPr>
            <w:r>
              <w:rPr>
                <w:rFonts w:ascii="Arial" w:hAnsi="Arial"/>
                <w:sz w:val="15"/>
              </w:rPr>
              <w:t>May block deployment when execution, reliability, data quality, or safety requirements are unmet.</w:t>
            </w:r>
          </w:p>
        </w:tc>
      </w:tr>
      <w:tr>
        <w:trPr>
          <w:cantSplit/>
        </w:trPr>
        <w:tc>
          <w:tcPr>
            <w:tcW w:type="dxa" w:w="2304"/>
            <w:tcMar>
              <w:top w:w="65" w:type="dxa"/>
              <w:start w:w="90" w:type="dxa"/>
              <w:bottom w:w="65" w:type="dxa"/>
              <w:end w:w="90" w:type="dxa"/>
            </w:tcMar>
            <w:shd w:fill="F3F5F7"/>
          </w:tcPr>
          <w:p>
            <w:pPr>
              <w:spacing w:after="0"/>
            </w:pPr>
            <w:r>
              <w:rPr>
                <w:rFonts w:ascii="Arial" w:hAnsi="Arial"/>
                <w:sz w:val="15"/>
              </w:rPr>
              <w:t>All partners</w:t>
            </w:r>
          </w:p>
        </w:tc>
        <w:tc>
          <w:tcPr>
            <w:tcW w:type="dxa" w:w="5616"/>
            <w:tcMar>
              <w:top w:w="65" w:type="dxa"/>
              <w:start w:w="90" w:type="dxa"/>
              <w:bottom w:w="65" w:type="dxa"/>
              <w:end w:w="90" w:type="dxa"/>
            </w:tcMar>
            <w:shd w:fill="F3F5F7"/>
          </w:tcPr>
          <w:p>
            <w:pPr>
              <w:spacing w:after="0"/>
            </w:pPr>
            <w:r>
              <w:rPr>
                <w:rFonts w:ascii="Arial" w:hAnsi="Arial"/>
                <w:sz w:val="15"/>
              </w:rPr>
              <w:t>Code review, hypothesis critique, documentation, testing, risk review, and milestone sign-off.</w:t>
            </w:r>
          </w:p>
        </w:tc>
        <w:tc>
          <w:tcPr>
            <w:tcW w:type="dxa" w:w="2448"/>
            <w:tcMar>
              <w:top w:w="65" w:type="dxa"/>
              <w:start w:w="90" w:type="dxa"/>
              <w:bottom w:w="65" w:type="dxa"/>
              <w:end w:w="90" w:type="dxa"/>
            </w:tcMar>
            <w:shd w:fill="F3F5F7"/>
          </w:tcPr>
          <w:p>
            <w:pPr>
              <w:spacing w:after="0"/>
            </w:pPr>
            <w:r>
              <w:rPr>
                <w:rFonts w:ascii="Arial" w:hAnsi="Arial"/>
                <w:sz w:val="15"/>
              </w:rPr>
              <w:t>Live capital deployment requires unanimous technical approval and explicit risk approval from the Product Owner.</w:t>
            </w:r>
          </w:p>
        </w:tc>
      </w:tr>
    </w:tbl>
    <w:p>
      <w:pPr>
        <w:spacing w:after="0"/>
        <w:widowControl/>
      </w:pPr>
    </w:p>
    <w:tbl>
      <w:tblPr>
        <w:tblW w:type="auto" w:w="0"/>
        <w:jc w:val="center"/>
        <w:tblLayout w:type="autofit"/>
        <w:tblLook w:firstColumn="1" w:firstRow="1" w:lastColumn="0" w:lastRow="0" w:noHBand="0" w:noVBand="1" w:val="04A0"/>
      </w:tblPr>
      <w:tblGrid>
        <w:gridCol w:w="9994"/>
      </w:tblGrid>
      <w:tr>
        <w:trPr>
          <w:cantSplit/>
        </w:trPr>
        <w:tc>
          <w:tcPr>
            <w:tcW w:type="dxa" w:w="9994"/>
            <w:shd w:fill="F7F0DE"/>
            <w:tcBorders>
              <w:top w:val="single" w:sz="10" w:color="B88A2A"/>
              <w:left w:val="single" w:sz="10" w:color="B88A2A"/>
              <w:bottom w:val="single" w:sz="10" w:color="B88A2A"/>
              <w:right w:val="single" w:sz="10" w:color="B88A2A"/>
            </w:tcBorders>
            <w:tcMar>
              <w:top w:w="100" w:type="dxa"/>
              <w:start w:w="130" w:type="dxa"/>
              <w:bottom w:w="100" w:type="dxa"/>
              <w:end w:w="130" w:type="dxa"/>
            </w:tcMar>
          </w:tcPr>
          <w:p>
            <w:pPr>
              <w:spacing w:after="40"/>
            </w:pPr>
            <w:r>
              <w:rPr>
                <w:rFonts w:ascii="Arial" w:hAnsi="Arial"/>
                <w:b/>
                <w:color w:val="172033"/>
                <w:sz w:val="19"/>
              </w:rPr>
              <w:t>Operating rule</w:t>
            </w:r>
          </w:p>
          <w:p>
            <w:pPr>
              <w:spacing w:after="0"/>
            </w:pPr>
            <w:r>
              <w:rPr>
                <w:rFonts w:ascii="Arial" w:hAnsi="Arial"/>
                <w:sz w:val="18"/>
              </w:rPr>
              <w:t>Market expertise determines what deserves investigation. Quantitative evidence determines what survives. Engineering controls determine what can be operated safely.</w:t>
            </w:r>
          </w:p>
        </w:tc>
      </w:tr>
    </w:tbl>
    <w:p>
      <w:pPr>
        <w:spacing w:after="0"/>
        <w:widowControl/>
      </w:pPr>
    </w:p>
    <w:p>
      <w:pPr>
        <w:pStyle w:val="Heading1"/>
        <w:pBdr>
          <w:bottom w:val="single" w:sz="8" w:space="3" w:color="B88A2A"/>
        </w:pBdr>
        <w:widowControl/>
      </w:pPr>
      <w:r>
        <w:rPr>
          <w:rFonts w:ascii="Arial" w:hAnsi="Arial"/>
          <w:b/>
          <w:color w:val="172033"/>
          <w:sz w:val="36"/>
        </w:rPr>
        <w:t>6. Current Project State</w:t>
      </w:r>
    </w:p>
    <w:p>
      <w:pPr>
        <w:widowControl/>
      </w:pPr>
      <w:r>
        <w:rPr>
          <w:rFonts w:ascii="Arial" w:hAnsi="Arial"/>
          <w:i w:val="0"/>
        </w:rPr>
        <w:t>The repository is materially beyond an initial concept, but it has not crossed the boundary into an approved trading strategy. New partners should treat completed foundations as reusable assets and avoid restarting work that has already been validated.</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trPr>
        <w:tc>
          <w:tcPr>
            <w:tcW w:type="dxa" w:w="2088"/>
            <w:shd w:fill="172033"/>
            <w:tcMar>
              <w:top w:w="75" w:type="dxa"/>
              <w:start w:w="90" w:type="dxa"/>
              <w:bottom w:w="75" w:type="dxa"/>
              <w:end w:w="90" w:type="dxa"/>
            </w:tcMar>
            <w:vAlign w:val="center"/>
          </w:tcPr>
          <w:p>
            <w:pPr>
              <w:jc w:val="left"/>
            </w:pPr>
            <w:r>
              <w:rPr>
                <w:rFonts w:ascii="Arial" w:hAnsi="Arial"/>
                <w:b/>
                <w:color w:val="FFFFFF"/>
                <w:sz w:val="16"/>
              </w:rPr>
              <w:t>Area</w:t>
            </w:r>
          </w:p>
        </w:tc>
        <w:tc>
          <w:tcPr>
            <w:tcW w:type="dxa" w:w="5256"/>
            <w:shd w:fill="172033"/>
            <w:tcMar>
              <w:top w:w="75" w:type="dxa"/>
              <w:start w:w="90" w:type="dxa"/>
              <w:bottom w:w="75" w:type="dxa"/>
              <w:end w:w="90" w:type="dxa"/>
            </w:tcMar>
            <w:vAlign w:val="center"/>
          </w:tcPr>
          <w:p>
            <w:pPr>
              <w:jc w:val="left"/>
            </w:pPr>
            <w:r>
              <w:rPr>
                <w:rFonts w:ascii="Arial" w:hAnsi="Arial"/>
                <w:b/>
                <w:color w:val="FFFFFF"/>
                <w:sz w:val="16"/>
              </w:rPr>
              <w:t>Current state</w:t>
            </w:r>
          </w:p>
        </w:tc>
        <w:tc>
          <w:tcPr>
            <w:tcW w:type="dxa" w:w="3024"/>
            <w:shd w:fill="172033"/>
            <w:tcMar>
              <w:top w:w="75" w:type="dxa"/>
              <w:start w:w="90" w:type="dxa"/>
              <w:bottom w:w="75" w:type="dxa"/>
              <w:end w:w="90" w:type="dxa"/>
            </w:tcMar>
            <w:vAlign w:val="center"/>
          </w:tcPr>
          <w:p>
            <w:pPr>
              <w:jc w:val="left"/>
            </w:pPr>
            <w:r>
              <w:rPr>
                <w:rFonts w:ascii="Arial" w:hAnsi="Arial"/>
                <w:b/>
                <w:color w:val="FFFFFF"/>
                <w:sz w:val="16"/>
              </w:rPr>
              <w:t>Implication</w:t>
            </w:r>
          </w:p>
        </w:tc>
      </w:tr>
      <w:tr>
        <w:trPr>
          <w:cantSplit/>
        </w:trPr>
        <w:tc>
          <w:tcPr>
            <w:tcW w:type="dxa" w:w="2088"/>
            <w:tcMar>
              <w:top w:w="65" w:type="dxa"/>
              <w:start w:w="90" w:type="dxa"/>
              <w:bottom w:w="65" w:type="dxa"/>
              <w:end w:w="90" w:type="dxa"/>
            </w:tcMar>
          </w:tcPr>
          <w:p>
            <w:pPr>
              <w:spacing w:after="0"/>
            </w:pPr>
            <w:r>
              <w:rPr>
                <w:rFonts w:ascii="Arial" w:hAnsi="Arial"/>
                <w:sz w:val="15"/>
              </w:rPr>
              <w:t>Data foundation</w:t>
            </w:r>
          </w:p>
        </w:tc>
        <w:tc>
          <w:tcPr>
            <w:tcW w:type="dxa" w:w="5256"/>
            <w:tcMar>
              <w:top w:w="65" w:type="dxa"/>
              <w:start w:w="90" w:type="dxa"/>
              <w:bottom w:w="65" w:type="dxa"/>
              <w:end w:w="90" w:type="dxa"/>
            </w:tcMar>
          </w:tcPr>
          <w:p>
            <w:pPr>
              <w:spacing w:after="0"/>
            </w:pPr>
            <w:r>
              <w:rPr>
                <w:rFonts w:ascii="Arial" w:hAnsi="Arial"/>
                <w:sz w:val="15"/>
              </w:rPr>
              <w:t>Complete. Databento DBN data was validated, converted to Parquet, and organized into a trusted liquidity-selected GC/MGC research table.</w:t>
            </w:r>
          </w:p>
        </w:tc>
        <w:tc>
          <w:tcPr>
            <w:tcW w:type="dxa" w:w="3024"/>
            <w:tcMar>
              <w:top w:w="65" w:type="dxa"/>
              <w:start w:w="90" w:type="dxa"/>
              <w:bottom w:w="65" w:type="dxa"/>
              <w:end w:w="90" w:type="dxa"/>
            </w:tcMar>
          </w:tcPr>
          <w:p>
            <w:pPr>
              <w:spacing w:after="0"/>
            </w:pPr>
            <w:r>
              <w:rPr>
                <w:rFonts w:ascii="Arial" w:hAnsi="Arial"/>
                <w:sz w:val="15"/>
              </w:rPr>
              <w:t>Research should begin from the trusted processed table, not from raw-data rework.</w:t>
            </w:r>
          </w:p>
        </w:tc>
      </w:tr>
      <w:tr>
        <w:trPr>
          <w:cantSplit/>
        </w:trPr>
        <w:tc>
          <w:tcPr>
            <w:tcW w:type="dxa" w:w="2088"/>
            <w:tcMar>
              <w:top w:w="65" w:type="dxa"/>
              <w:start w:w="90" w:type="dxa"/>
              <w:bottom w:w="65" w:type="dxa"/>
              <w:end w:w="90" w:type="dxa"/>
            </w:tcMar>
            <w:shd w:fill="F3F5F7"/>
          </w:tcPr>
          <w:p>
            <w:pPr>
              <w:spacing w:after="0"/>
            </w:pPr>
            <w:r>
              <w:rPr>
                <w:rFonts w:ascii="Arial" w:hAnsi="Arial"/>
                <w:sz w:val="15"/>
              </w:rPr>
              <w:t>Trusted table</w:t>
            </w:r>
          </w:p>
        </w:tc>
        <w:tc>
          <w:tcPr>
            <w:tcW w:type="dxa" w:w="5256"/>
            <w:tcMar>
              <w:top w:w="65" w:type="dxa"/>
              <w:start w:w="90" w:type="dxa"/>
              <w:bottom w:w="65" w:type="dxa"/>
              <w:end w:w="90" w:type="dxa"/>
            </w:tcMar>
            <w:shd w:fill="F3F5F7"/>
          </w:tcPr>
          <w:p>
            <w:pPr>
              <w:spacing w:after="0"/>
            </w:pPr>
            <w:r>
              <w:rPr>
                <w:rFonts w:ascii="Arial" w:hAnsi="Arial"/>
                <w:sz w:val="15"/>
              </w:rPr>
              <w:t>3,487,656 bars: 1,759,671 GC and 1,727,985 MGC.</w:t>
            </w:r>
          </w:p>
        </w:tc>
        <w:tc>
          <w:tcPr>
            <w:tcW w:type="dxa" w:w="3024"/>
            <w:tcMar>
              <w:top w:w="65" w:type="dxa"/>
              <w:start w:w="90" w:type="dxa"/>
              <w:bottom w:w="65" w:type="dxa"/>
              <w:end w:w="90" w:type="dxa"/>
            </w:tcMar>
            <w:shd w:fill="F3F5F7"/>
          </w:tcPr>
          <w:p>
            <w:pPr>
              <w:spacing w:after="0"/>
            </w:pPr>
            <w:r>
              <w:rPr>
                <w:rFonts w:ascii="Arial" w:hAnsi="Arial"/>
                <w:sz w:val="15"/>
              </w:rPr>
              <w:t>The engineering design must remain memory-conscious and scalable.</w:t>
            </w:r>
          </w:p>
        </w:tc>
      </w:tr>
      <w:tr>
        <w:trPr>
          <w:cantSplit/>
        </w:trPr>
        <w:tc>
          <w:tcPr>
            <w:tcW w:type="dxa" w:w="2088"/>
            <w:tcMar>
              <w:top w:w="65" w:type="dxa"/>
              <w:start w:w="90" w:type="dxa"/>
              <w:bottom w:w="65" w:type="dxa"/>
              <w:end w:w="90" w:type="dxa"/>
            </w:tcMar>
          </w:tcPr>
          <w:p>
            <w:pPr>
              <w:spacing w:after="0"/>
            </w:pPr>
            <w:r>
              <w:rPr>
                <w:rFonts w:ascii="Arial" w:hAnsi="Arial"/>
                <w:sz w:val="15"/>
              </w:rPr>
              <w:t>Branch A — True POI</w:t>
            </w:r>
          </w:p>
        </w:tc>
        <w:tc>
          <w:tcPr>
            <w:tcW w:type="dxa" w:w="5256"/>
            <w:tcMar>
              <w:top w:w="65" w:type="dxa"/>
              <w:start w:w="90" w:type="dxa"/>
              <w:bottom w:w="65" w:type="dxa"/>
              <w:end w:w="90" w:type="dxa"/>
            </w:tcMar>
          </w:tcPr>
          <w:p>
            <w:pPr>
              <w:spacing w:after="0"/>
            </w:pPr>
            <w:r>
              <w:rPr>
                <w:rFonts w:ascii="Arial" w:hAnsi="Arial"/>
                <w:sz w:val="15"/>
              </w:rPr>
              <w:t>POI engine, refined formation definition, retests, context features, matched controls, and first-passage research are complete. No candidate is approved for Section 8 backtesting.</w:t>
            </w:r>
          </w:p>
        </w:tc>
        <w:tc>
          <w:tcPr>
            <w:tcW w:type="dxa" w:w="3024"/>
            <w:tcMar>
              <w:top w:w="65" w:type="dxa"/>
              <w:start w:w="90" w:type="dxa"/>
              <w:bottom w:w="65" w:type="dxa"/>
              <w:end w:w="90" w:type="dxa"/>
            </w:tcMar>
          </w:tcPr>
          <w:p>
            <w:pPr>
              <w:spacing w:after="0"/>
            </w:pPr>
            <w:r>
              <w:rPr>
                <w:rFonts w:ascii="Arial" w:hAnsi="Arial"/>
                <w:sz w:val="15"/>
              </w:rPr>
              <w:t>The branch is a formalized research asset, not a validated trading strategy.</w:t>
            </w:r>
          </w:p>
        </w:tc>
      </w:tr>
      <w:tr>
        <w:trPr>
          <w:cantSplit/>
        </w:trPr>
        <w:tc>
          <w:tcPr>
            <w:tcW w:type="dxa" w:w="2088"/>
            <w:tcMar>
              <w:top w:w="65" w:type="dxa"/>
              <w:start w:w="90" w:type="dxa"/>
              <w:bottom w:w="65" w:type="dxa"/>
              <w:end w:w="90" w:type="dxa"/>
            </w:tcMar>
            <w:shd w:fill="F3F5F7"/>
          </w:tcPr>
          <w:p>
            <w:pPr>
              <w:spacing w:after="0"/>
            </w:pPr>
            <w:r>
              <w:rPr>
                <w:rFonts w:ascii="Arial" w:hAnsi="Arial"/>
                <w:sz w:val="15"/>
              </w:rPr>
              <w:t>Branch B — independent statistics</w:t>
            </w:r>
          </w:p>
        </w:tc>
        <w:tc>
          <w:tcPr>
            <w:tcW w:type="dxa" w:w="5256"/>
            <w:tcMar>
              <w:top w:w="65" w:type="dxa"/>
              <w:start w:w="90" w:type="dxa"/>
              <w:bottom w:w="65" w:type="dxa"/>
              <w:end w:w="90" w:type="dxa"/>
            </w:tcMar>
            <w:shd w:fill="F3F5F7"/>
          </w:tcPr>
          <w:p>
            <w:pPr>
              <w:spacing w:after="0"/>
            </w:pPr>
            <w:r>
              <w:rPr>
                <w:rFonts w:ascii="Arial" w:hAnsi="Arial"/>
                <w:sz w:val="15"/>
              </w:rPr>
              <w:t>Eligible observation frame, fixed-horizon labels, baseline behaviour, and an 85-predictor feature registry/matrix are complete. Univariate feature evaluation is next.</w:t>
            </w:r>
          </w:p>
        </w:tc>
        <w:tc>
          <w:tcPr>
            <w:tcW w:type="dxa" w:w="3024"/>
            <w:tcMar>
              <w:top w:w="65" w:type="dxa"/>
              <w:start w:w="90" w:type="dxa"/>
              <w:bottom w:w="65" w:type="dxa"/>
              <w:end w:w="90" w:type="dxa"/>
            </w:tcMar>
            <w:shd w:fill="F3F5F7"/>
          </w:tcPr>
          <w:p>
            <w:pPr>
              <w:spacing w:after="0"/>
            </w:pPr>
            <w:r>
              <w:rPr>
                <w:rFonts w:ascii="Arial" w:hAnsi="Arial"/>
                <w:sz w:val="15"/>
              </w:rPr>
              <w:t>No feature has yet demonstrated predictive value; construction integrity is not evidence of edge.</w:t>
            </w:r>
          </w:p>
        </w:tc>
      </w:tr>
      <w:tr>
        <w:trPr>
          <w:cantSplit/>
        </w:trPr>
        <w:tc>
          <w:tcPr>
            <w:tcW w:type="dxa" w:w="2088"/>
            <w:tcMar>
              <w:top w:w="65" w:type="dxa"/>
              <w:start w:w="90" w:type="dxa"/>
              <w:bottom w:w="65" w:type="dxa"/>
              <w:end w:w="90" w:type="dxa"/>
            </w:tcMar>
          </w:tcPr>
          <w:p>
            <w:pPr>
              <w:spacing w:after="0"/>
            </w:pPr>
            <w:r>
              <w:rPr>
                <w:rFonts w:ascii="Arial" w:hAnsi="Arial"/>
                <w:sz w:val="15"/>
              </w:rPr>
              <w:t>Research governance</w:t>
            </w:r>
          </w:p>
        </w:tc>
        <w:tc>
          <w:tcPr>
            <w:tcW w:type="dxa" w:w="5256"/>
            <w:tcMar>
              <w:top w:w="65" w:type="dxa"/>
              <w:start w:w="90" w:type="dxa"/>
              <w:bottom w:w="65" w:type="dxa"/>
              <w:end w:w="90" w:type="dxa"/>
            </w:tcMar>
          </w:tcPr>
          <w:p>
            <w:pPr>
              <w:spacing w:after="0"/>
            </w:pPr>
            <w:r>
              <w:rPr>
                <w:rFonts w:ascii="Arial" w:hAnsi="Arial"/>
                <w:sz w:val="15"/>
              </w:rPr>
              <w:t>Development through 2023; Validation in 2024; Final test from 2025 through 22 May 2026. Final-test values have had limited descriptive exposure.</w:t>
            </w:r>
          </w:p>
        </w:tc>
        <w:tc>
          <w:tcPr>
            <w:tcW w:type="dxa" w:w="3024"/>
            <w:tcMar>
              <w:top w:w="65" w:type="dxa"/>
              <w:start w:w="90" w:type="dxa"/>
              <w:bottom w:w="65" w:type="dxa"/>
              <w:end w:w="90" w:type="dxa"/>
            </w:tcMar>
          </w:tcPr>
          <w:p>
            <w:pPr>
              <w:spacing w:after="0"/>
            </w:pPr>
            <w:r>
              <w:rPr>
                <w:rFonts w:ascii="Arial" w:hAnsi="Arial"/>
                <w:sz w:val="15"/>
              </w:rPr>
              <w:t>No later rule may be tuned to exposed final-test results. Forward paper data is an important future untouched validation source.</w:t>
            </w:r>
          </w:p>
        </w:tc>
      </w:tr>
      <w:tr>
        <w:trPr>
          <w:cantSplit/>
        </w:trPr>
        <w:tc>
          <w:tcPr>
            <w:tcW w:type="dxa" w:w="2088"/>
            <w:tcMar>
              <w:top w:w="65" w:type="dxa"/>
              <w:start w:w="90" w:type="dxa"/>
              <w:bottom w:w="65" w:type="dxa"/>
              <w:end w:w="90" w:type="dxa"/>
            </w:tcMar>
            <w:shd w:fill="F3F5F7"/>
          </w:tcPr>
          <w:p>
            <w:pPr>
              <w:spacing w:after="0"/>
            </w:pPr>
            <w:r>
              <w:rPr>
                <w:rFonts w:ascii="Arial" w:hAnsi="Arial"/>
                <w:sz w:val="15"/>
              </w:rPr>
              <w:t>Testing</w:t>
            </w:r>
          </w:p>
        </w:tc>
        <w:tc>
          <w:tcPr>
            <w:tcW w:type="dxa" w:w="5256"/>
            <w:tcMar>
              <w:top w:w="65" w:type="dxa"/>
              <w:start w:w="90" w:type="dxa"/>
              <w:bottom w:w="65" w:type="dxa"/>
              <w:end w:w="90" w:type="dxa"/>
            </w:tcMar>
            <w:shd w:fill="F3F5F7"/>
          </w:tcPr>
          <w:p>
            <w:pPr>
              <w:spacing w:after="0"/>
            </w:pPr>
            <w:r>
              <w:rPr>
                <w:rFonts w:ascii="Arial" w:hAnsi="Arial"/>
                <w:sz w:val="15"/>
              </w:rPr>
              <w:t>94 automated tests across nine modules.</w:t>
            </w:r>
          </w:p>
        </w:tc>
        <w:tc>
          <w:tcPr>
            <w:tcW w:type="dxa" w:w="3024"/>
            <w:tcMar>
              <w:top w:w="65" w:type="dxa"/>
              <w:start w:w="90" w:type="dxa"/>
              <w:bottom w:w="65" w:type="dxa"/>
              <w:end w:w="90" w:type="dxa"/>
            </w:tcMar>
            <w:shd w:fill="F3F5F7"/>
          </w:tcPr>
          <w:p>
            <w:pPr>
              <w:spacing w:after="0"/>
            </w:pPr>
            <w:r>
              <w:rPr>
                <w:rFonts w:ascii="Arial" w:hAnsi="Arial"/>
                <w:sz w:val="15"/>
              </w:rPr>
              <w:t>New milestones must preserve and extend the test suite.</w:t>
            </w:r>
          </w:p>
        </w:tc>
      </w:tr>
      <w:tr>
        <w:trPr>
          <w:cantSplit/>
        </w:trPr>
        <w:tc>
          <w:tcPr>
            <w:tcW w:type="dxa" w:w="2088"/>
            <w:tcMar>
              <w:top w:w="65" w:type="dxa"/>
              <w:start w:w="90" w:type="dxa"/>
              <w:bottom w:w="65" w:type="dxa"/>
              <w:end w:w="90" w:type="dxa"/>
            </w:tcMar>
          </w:tcPr>
          <w:p>
            <w:pPr>
              <w:spacing w:after="0"/>
            </w:pPr>
            <w:r>
              <w:rPr>
                <w:rFonts w:ascii="Arial" w:hAnsi="Arial"/>
                <w:sz w:val="15"/>
              </w:rPr>
              <w:t>Backtesting and execution</w:t>
            </w:r>
          </w:p>
        </w:tc>
        <w:tc>
          <w:tcPr>
            <w:tcW w:type="dxa" w:w="5256"/>
            <w:tcMar>
              <w:top w:w="65" w:type="dxa"/>
              <w:start w:w="90" w:type="dxa"/>
              <w:bottom w:w="65" w:type="dxa"/>
              <w:end w:w="90" w:type="dxa"/>
            </w:tcMar>
          </w:tcPr>
          <w:p>
            <w:pPr>
              <w:spacing w:after="0"/>
            </w:pPr>
            <w:r>
              <w:rPr>
                <w:rFonts w:ascii="Arial" w:hAnsi="Arial"/>
                <w:sz w:val="15"/>
              </w:rPr>
              <w:t>Sequential strategy backtest, costs, sizing, account state, production execution, and GC-to-MGC mapping remain incomplete.</w:t>
            </w:r>
          </w:p>
        </w:tc>
        <w:tc>
          <w:tcPr>
            <w:tcW w:type="dxa" w:w="3024"/>
            <w:tcMar>
              <w:top w:w="65" w:type="dxa"/>
              <w:start w:w="90" w:type="dxa"/>
              <w:bottom w:w="65" w:type="dxa"/>
              <w:end w:w="90" w:type="dxa"/>
            </w:tcMar>
          </w:tcPr>
          <w:p>
            <w:pPr>
              <w:spacing w:after="0"/>
            </w:pPr>
            <w:r>
              <w:rPr>
                <w:rFonts w:ascii="Arial" w:hAnsi="Arial"/>
                <w:sz w:val="15"/>
              </w:rPr>
              <w:t>These are core future product deliverables.</w:t>
            </w:r>
          </w:p>
        </w:tc>
      </w:tr>
    </w:tbl>
    <w:p>
      <w:pPr>
        <w:spacing w:after="0"/>
        <w:widowControl/>
      </w:pPr>
    </w:p>
    <w:p>
      <w:pPr>
        <w:pStyle w:val="Heading1"/>
        <w:pBdr>
          <w:bottom w:val="single" w:sz="8" w:space="3" w:color="B88A2A"/>
        </w:pBdr>
        <w:widowControl/>
      </w:pPr>
      <w:r>
        <w:rPr>
          <w:rFonts w:ascii="Arial" w:hAnsi="Arial"/>
          <w:b/>
          <w:color w:val="172033"/>
          <w:sz w:val="36"/>
        </w:rPr>
        <w:t>7. Market, Instrument, Data, and Timeframe Scope</w:t>
      </w:r>
    </w:p>
    <w:p>
      <w:pPr>
        <w:pStyle w:val="Heading2"/>
        <w:widowControl/>
      </w:pPr>
      <w:r>
        <w:t>7.1 Instrument policy</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trPr>
        <w:tc>
          <w:tcPr>
            <w:tcW w:type="dxa" w:w="2304"/>
            <w:shd w:fill="172033"/>
            <w:tcMar>
              <w:top w:w="75" w:type="dxa"/>
              <w:start w:w="90" w:type="dxa"/>
              <w:bottom w:w="75" w:type="dxa"/>
              <w:end w:w="90" w:type="dxa"/>
            </w:tcMar>
            <w:vAlign w:val="center"/>
          </w:tcPr>
          <w:p>
            <w:pPr>
              <w:jc w:val="left"/>
            </w:pPr>
            <w:r>
              <w:rPr>
                <w:rFonts w:ascii="Arial" w:hAnsi="Arial"/>
                <w:b/>
                <w:color w:val="FFFFFF"/>
                <w:sz w:val="16"/>
              </w:rPr>
              <w:t>Instrument</w:t>
            </w:r>
          </w:p>
        </w:tc>
        <w:tc>
          <w:tcPr>
            <w:tcW w:type="dxa" w:w="2880"/>
            <w:shd w:fill="172033"/>
            <w:tcMar>
              <w:top w:w="75" w:type="dxa"/>
              <w:start w:w="90" w:type="dxa"/>
              <w:bottom w:w="75" w:type="dxa"/>
              <w:end w:w="90" w:type="dxa"/>
            </w:tcMar>
            <w:vAlign w:val="center"/>
          </w:tcPr>
          <w:p>
            <w:pPr>
              <w:jc w:val="left"/>
            </w:pPr>
            <w:r>
              <w:rPr>
                <w:rFonts w:ascii="Arial" w:hAnsi="Arial"/>
                <w:b/>
                <w:color w:val="FFFFFF"/>
                <w:sz w:val="16"/>
              </w:rPr>
              <w:t>Role</w:t>
            </w:r>
          </w:p>
        </w:tc>
        <w:tc>
          <w:tcPr>
            <w:tcW w:type="dxa" w:w="5184"/>
            <w:shd w:fill="172033"/>
            <w:tcMar>
              <w:top w:w="75" w:type="dxa"/>
              <w:start w:w="90" w:type="dxa"/>
              <w:bottom w:w="75" w:type="dxa"/>
              <w:end w:w="90" w:type="dxa"/>
            </w:tcMar>
            <w:vAlign w:val="center"/>
          </w:tcPr>
          <w:p>
            <w:pPr>
              <w:jc w:val="left"/>
            </w:pPr>
            <w:r>
              <w:rPr>
                <w:rFonts w:ascii="Arial" w:hAnsi="Arial"/>
                <w:b/>
                <w:color w:val="FFFFFF"/>
                <w:sz w:val="16"/>
              </w:rPr>
              <w:t>Rationale and constraints</w:t>
            </w:r>
          </w:p>
        </w:tc>
      </w:tr>
      <w:tr>
        <w:trPr>
          <w:cantSplit/>
        </w:trPr>
        <w:tc>
          <w:tcPr>
            <w:tcW w:type="dxa" w:w="2304"/>
            <w:tcMar>
              <w:top w:w="65" w:type="dxa"/>
              <w:start w:w="90" w:type="dxa"/>
              <w:bottom w:w="65" w:type="dxa"/>
              <w:end w:w="90" w:type="dxa"/>
            </w:tcMar>
          </w:tcPr>
          <w:p>
            <w:pPr>
              <w:spacing w:after="0"/>
            </w:pPr>
            <w:r>
              <w:rPr>
                <w:rFonts w:ascii="Arial" w:hAnsi="Arial"/>
                <w:sz w:val="16"/>
              </w:rPr>
              <w:t>GC — COMEX Gold Futures</w:t>
            </w:r>
          </w:p>
        </w:tc>
        <w:tc>
          <w:tcPr>
            <w:tcW w:type="dxa" w:w="2880"/>
            <w:tcMar>
              <w:top w:w="65" w:type="dxa"/>
              <w:start w:w="90" w:type="dxa"/>
              <w:bottom w:w="65" w:type="dxa"/>
              <w:end w:w="90" w:type="dxa"/>
            </w:tcMar>
          </w:tcPr>
          <w:p>
            <w:pPr>
              <w:spacing w:after="0"/>
            </w:pPr>
            <w:r>
              <w:rPr>
                <w:rFonts w:ascii="Arial" w:hAnsi="Arial"/>
                <w:sz w:val="16"/>
              </w:rPr>
              <w:t>Primary analysis and signal-research instrument</w:t>
            </w:r>
          </w:p>
        </w:tc>
        <w:tc>
          <w:tcPr>
            <w:tcW w:type="dxa" w:w="5184"/>
            <w:tcMar>
              <w:top w:w="65" w:type="dxa"/>
              <w:start w:w="90" w:type="dxa"/>
              <w:bottom w:w="65" w:type="dxa"/>
              <w:end w:w="90" w:type="dxa"/>
            </w:tcMar>
          </w:tcPr>
          <w:p>
            <w:pPr>
              <w:spacing w:after="0"/>
            </w:pPr>
            <w:r>
              <w:rPr>
                <w:rFonts w:ascii="Arial" w:hAnsi="Arial"/>
                <w:sz w:val="16"/>
              </w:rPr>
              <w:t>Benchmark contract, deeper liquidity, and established project research history. Each contract represents 100 troy ounces and the minimum $0.10/oz tick equals $10 per contract. This larger exposure increases margin, drawdown, and risk concentration.</w:t>
            </w:r>
          </w:p>
        </w:tc>
      </w:tr>
      <w:tr>
        <w:trPr>
          <w:cantSplit/>
        </w:trPr>
        <w:tc>
          <w:tcPr>
            <w:tcW w:type="dxa" w:w="2304"/>
            <w:tcMar>
              <w:top w:w="65" w:type="dxa"/>
              <w:start w:w="90" w:type="dxa"/>
              <w:bottom w:w="65" w:type="dxa"/>
              <w:end w:w="90" w:type="dxa"/>
            </w:tcMar>
            <w:shd w:fill="F3F5F7"/>
          </w:tcPr>
          <w:p>
            <w:pPr>
              <w:spacing w:after="0"/>
            </w:pPr>
            <w:r>
              <w:rPr>
                <w:rFonts w:ascii="Arial" w:hAnsi="Arial"/>
                <w:sz w:val="16"/>
              </w:rPr>
              <w:t>MGC — Micro Gold Futures</w:t>
            </w:r>
          </w:p>
        </w:tc>
        <w:tc>
          <w:tcPr>
            <w:tcW w:type="dxa" w:w="2880"/>
            <w:tcMar>
              <w:top w:w="65" w:type="dxa"/>
              <w:start w:w="90" w:type="dxa"/>
              <w:bottom w:w="65" w:type="dxa"/>
              <w:end w:w="90" w:type="dxa"/>
            </w:tcMar>
            <w:shd w:fill="F3F5F7"/>
          </w:tcPr>
          <w:p>
            <w:pPr>
              <w:spacing w:after="0"/>
            </w:pPr>
            <w:r>
              <w:rPr>
                <w:rFonts w:ascii="Arial" w:hAnsi="Arial"/>
                <w:sz w:val="16"/>
              </w:rPr>
              <w:t>Intended initial execution instrument</w:t>
            </w:r>
          </w:p>
        </w:tc>
        <w:tc>
          <w:tcPr>
            <w:tcW w:type="dxa" w:w="5184"/>
            <w:tcMar>
              <w:top w:w="65" w:type="dxa"/>
              <w:start w:w="90" w:type="dxa"/>
              <w:bottom w:w="65" w:type="dxa"/>
              <w:end w:w="90" w:type="dxa"/>
            </w:tcMar>
            <w:shd w:fill="F3F5F7"/>
          </w:tcPr>
          <w:p>
            <w:pPr>
              <w:spacing w:after="0"/>
            </w:pPr>
            <w:r>
              <w:rPr>
                <w:rFonts w:ascii="Arial" w:hAnsi="Arial"/>
                <w:sz w:val="16"/>
              </w:rPr>
              <w:t>One-tenth the size of GC: 10 troy ounces and $1 per minimum tick. It provides finer position sizing, lower capital commitment, and better compatibility with early-stage and prop-firm risk limits.</w:t>
            </w:r>
          </w:p>
        </w:tc>
      </w:tr>
      <w:tr>
        <w:trPr>
          <w:cantSplit/>
        </w:trPr>
        <w:tc>
          <w:tcPr>
            <w:tcW w:type="dxa" w:w="2304"/>
            <w:tcMar>
              <w:top w:w="65" w:type="dxa"/>
              <w:start w:w="90" w:type="dxa"/>
              <w:bottom w:w="65" w:type="dxa"/>
              <w:end w:w="90" w:type="dxa"/>
            </w:tcMar>
          </w:tcPr>
          <w:p>
            <w:pPr>
              <w:spacing w:after="0"/>
            </w:pPr>
            <w:r>
              <w:rPr>
                <w:rFonts w:ascii="Arial" w:hAnsi="Arial"/>
                <w:sz w:val="16"/>
              </w:rPr>
              <w:t>GC live execution</w:t>
            </w:r>
          </w:p>
        </w:tc>
        <w:tc>
          <w:tcPr>
            <w:tcW w:type="dxa" w:w="2880"/>
            <w:tcMar>
              <w:top w:w="65" w:type="dxa"/>
              <w:start w:w="90" w:type="dxa"/>
              <w:bottom w:w="65" w:type="dxa"/>
              <w:end w:w="90" w:type="dxa"/>
            </w:tcMar>
          </w:tcPr>
          <w:p>
            <w:pPr>
              <w:spacing w:after="0"/>
            </w:pPr>
            <w:r>
              <w:rPr>
                <w:rFonts w:ascii="Arial" w:hAnsi="Arial"/>
                <w:sz w:val="16"/>
              </w:rPr>
              <w:t>Future scaling option</w:t>
            </w:r>
          </w:p>
        </w:tc>
        <w:tc>
          <w:tcPr>
            <w:tcW w:type="dxa" w:w="5184"/>
            <w:tcMar>
              <w:top w:w="65" w:type="dxa"/>
              <w:start w:w="90" w:type="dxa"/>
              <w:bottom w:w="65" w:type="dxa"/>
              <w:end w:w="90" w:type="dxa"/>
            </w:tcMar>
          </w:tcPr>
          <w:p>
            <w:pPr>
              <w:spacing w:after="0"/>
            </w:pPr>
            <w:r>
              <w:rPr>
                <w:rFonts w:ascii="Arial" w:hAnsi="Arial"/>
                <w:sz w:val="16"/>
              </w:rPr>
              <w:t>Permitted only after sufficient capital, stable live operations, and explicit risk approval. The system must not assume that a GC signal automatically transfers to MGC or vice versa.</w:t>
            </w:r>
          </w:p>
        </w:tc>
      </w:tr>
    </w:tbl>
    <w:p>
      <w:pPr>
        <w:spacing w:after="0"/>
        <w:widowControl/>
      </w:pPr>
    </w:p>
    <w:p>
      <w:pPr>
        <w:widowControl/>
      </w:pPr>
      <w:r>
        <w:rPr>
          <w:rFonts w:ascii="Arial" w:hAnsi="Arial"/>
          <w:i w:val="0"/>
        </w:rPr>
        <w:t>Actual exchange and broker margin requirements change over time. The project will therefore store margin and buying-power assumptions as versioned configuration rather than as permanent constants. The structural reason for preferring MGC is the tenfold smaller contract exposure and tick value, not a single temporary margin figure.</w:t>
      </w:r>
    </w:p>
    <w:p>
      <w:pPr>
        <w:pStyle w:val="Heading2"/>
        <w:widowControl/>
      </w:pPr>
      <w:r>
        <w:t>7.2 Data assets</w:t>
      </w:r>
    </w:p>
    <w:p>
      <w:pPr>
        <w:pStyle w:val="ListBullet"/>
        <w:spacing w:after="40"/>
        <w:ind w:left="317" w:hanging="173"/>
        <w:widowControl/>
      </w:pPr>
      <w:r>
        <w:rPr>
          <w:rFonts w:ascii="Arial" w:hAnsi="Arial"/>
        </w:rPr>
        <w:t>Source: Databento GLBX.MDP3 one-minute OHLCV for GC and MGC.</w:t>
      </w:r>
    </w:p>
    <w:p>
      <w:pPr>
        <w:pStyle w:val="ListBullet"/>
        <w:spacing w:after="40"/>
        <w:ind w:left="317" w:hanging="173"/>
        <w:widowControl/>
      </w:pPr>
      <w:r>
        <w:rPr>
          <w:rFonts w:ascii="Arial" w:hAnsi="Arial"/>
        </w:rPr>
        <w:t>Coverage: 24 May 2021 to 24 May 2026; the current eligible statistical frame ends on 22 May 2026.</w:t>
      </w:r>
    </w:p>
    <w:p>
      <w:pPr>
        <w:pStyle w:val="ListBullet"/>
        <w:spacing w:after="40"/>
        <w:ind w:left="317" w:hanging="173"/>
        <w:widowControl/>
      </w:pPr>
      <w:r>
        <w:rPr>
          <w:rFonts w:ascii="Arial" w:hAnsi="Arial"/>
        </w:rPr>
        <w:t>Research table: liquidity-selected, raw non-back-adjusted tradable prices with rollover and tradability controls.</w:t>
      </w:r>
    </w:p>
    <w:p>
      <w:pPr>
        <w:pStyle w:val="ListBullet"/>
        <w:spacing w:after="40"/>
        <w:ind w:left="317" w:hanging="173"/>
        <w:widowControl/>
      </w:pPr>
      <w:r>
        <w:rPr>
          <w:rFonts w:ascii="Arial" w:hAnsi="Arial"/>
        </w:rPr>
        <w:t>Timestamp policy: UTC is the immutable join key; America/New_York is the business and session timezone.</w:t>
      </w:r>
    </w:p>
    <w:p>
      <w:pPr>
        <w:pStyle w:val="ListBullet"/>
        <w:spacing w:after="40"/>
        <w:ind w:left="317" w:hanging="173"/>
        <w:widowControl/>
      </w:pPr>
      <w:r>
        <w:rPr>
          <w:rFonts w:ascii="Arial" w:hAnsi="Arial"/>
        </w:rPr>
        <w:t>Raw DBN is immutable. Parquet is the primary research format. Raw and processed market data are not committed to Git.</w:t>
      </w:r>
    </w:p>
    <w:p>
      <w:pPr>
        <w:pStyle w:val="Heading2"/>
        <w:widowControl/>
      </w:pPr>
      <w:r>
        <w:t>7.3 Timeframe policy</w:t>
      </w:r>
    </w:p>
    <w:p>
      <w:pPr>
        <w:widowControl/>
      </w:pPr>
      <w:r>
        <w:rPr>
          <w:rFonts w:ascii="Arial" w:hAnsi="Arial"/>
          <w:i w:val="0"/>
        </w:rPr>
        <w:t>One-minute bars are the base research and entry-resolution dataset because the discretionary strategy historically looks for entries on the one-minute chart. Higher-timeframe context—such as 5-minute, 15-minute, 1-hour, and daily trend or volatility state—must be derived from completed lower-timeframe bars or independently sourced and time-aligned. A one-hour feature may use only a fully completed one-hour candle at the decision timestamp; partial future candle information is prohibited.</w:t>
      </w:r>
    </w:p>
    <w:tbl>
      <w:tblPr>
        <w:tblW w:type="auto" w:w="0"/>
        <w:jc w:val="center"/>
        <w:tblLayout w:type="autofit"/>
        <w:tblLook w:firstColumn="1" w:firstRow="1" w:lastColumn="0" w:lastRow="0" w:noHBand="0" w:noVBand="1" w:val="04A0"/>
      </w:tblPr>
      <w:tblGrid>
        <w:gridCol w:w="9994"/>
      </w:tblGrid>
      <w:tr>
        <w:trPr>
          <w:cantSplit/>
        </w:trPr>
        <w:tc>
          <w:tcPr>
            <w:tcW w:type="dxa" w:w="9994"/>
            <w:shd w:fill="F7F0DE"/>
            <w:tcBorders>
              <w:top w:val="single" w:sz="10" w:color="B88A2A"/>
              <w:left w:val="single" w:sz="10" w:color="B88A2A"/>
              <w:bottom w:val="single" w:sz="10" w:color="B88A2A"/>
              <w:right w:val="single" w:sz="10" w:color="B88A2A"/>
            </w:tcBorders>
            <w:tcMar>
              <w:top w:w="100" w:type="dxa"/>
              <w:start w:w="130" w:type="dxa"/>
              <w:bottom w:w="100" w:type="dxa"/>
              <w:end w:w="130" w:type="dxa"/>
            </w:tcMar>
          </w:tcPr>
          <w:p>
            <w:pPr>
              <w:spacing w:after="40"/>
            </w:pPr>
            <w:r>
              <w:rPr>
                <w:rFonts w:ascii="Arial" w:hAnsi="Arial"/>
                <w:b/>
                <w:color w:val="172033"/>
                <w:sz w:val="19"/>
              </w:rPr>
              <w:t>Critical limitation of one-minute OHLCV</w:t>
            </w:r>
          </w:p>
          <w:p>
            <w:pPr>
              <w:spacing w:after="0"/>
            </w:pPr>
            <w:r>
              <w:rPr>
                <w:rFonts w:ascii="Arial" w:hAnsi="Arial"/>
                <w:sz w:val="18"/>
              </w:rPr>
              <w:t>A one-minute bar does not reveal the order in which its high and low occurred, queue priority, bid/ask spread, aggressor flow, or market depth. Any stop/target collision inside the same bar is ambiguous and must be handled conservatively, excluded, or later resolved with finer data.</w:t>
            </w:r>
          </w:p>
        </w:tc>
      </w:tr>
    </w:tbl>
    <w:p>
      <w:pPr>
        <w:spacing w:after="0"/>
        <w:widowControl/>
      </w:pPr>
    </w:p>
    <w:p>
      <w:pPr>
        <w:pStyle w:val="Heading1"/>
        <w:pBdr>
          <w:bottom w:val="single" w:sz="8" w:space="3" w:color="B88A2A"/>
        </w:pBdr>
        <w:widowControl/>
      </w:pPr>
      <w:r>
        <w:rPr>
          <w:rFonts w:ascii="Arial" w:hAnsi="Arial"/>
          <w:b/>
          <w:color w:val="172033"/>
          <w:sz w:val="36"/>
        </w:rPr>
        <w:t>8. Target Product Architecture</w:t>
      </w:r>
    </w:p>
    <w:p>
      <w:pPr>
        <w:widowControl/>
      </w:pPr>
      <w:r>
        <w:rPr>
          <w:rFonts w:ascii="Arial" w:hAnsi="Arial"/>
          <w:i w:val="0"/>
        </w:rPr>
        <w:t>The product is a layered research-to-execution platform rather than a single notebook or monolithic trading script. Each layer must have a stable contract and independently testable outputs.</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944"/>
            <w:shd w:fill="172033"/>
            <w:tcMar>
              <w:top w:w="75" w:type="dxa"/>
              <w:start w:w="90" w:type="dxa"/>
              <w:bottom w:w="75" w:type="dxa"/>
              <w:end w:w="90" w:type="dxa"/>
            </w:tcMar>
            <w:vAlign w:val="center"/>
          </w:tcPr>
          <w:p>
            <w:pPr>
              <w:jc w:val="left"/>
            </w:pPr>
            <w:r>
              <w:rPr>
                <w:rFonts w:ascii="Arial" w:hAnsi="Arial"/>
                <w:b/>
                <w:color w:val="FFFFFF"/>
                <w:sz w:val="16"/>
              </w:rPr>
              <w:t>Layer</w:t>
            </w:r>
          </w:p>
        </w:tc>
        <w:tc>
          <w:tcPr>
            <w:tcW w:type="dxa" w:w="4608"/>
            <w:shd w:fill="172033"/>
            <w:tcMar>
              <w:top w:w="75" w:type="dxa"/>
              <w:start w:w="90" w:type="dxa"/>
              <w:bottom w:w="75" w:type="dxa"/>
              <w:end w:w="90" w:type="dxa"/>
            </w:tcMar>
            <w:vAlign w:val="center"/>
          </w:tcPr>
          <w:p>
            <w:pPr>
              <w:jc w:val="left"/>
            </w:pPr>
            <w:r>
              <w:rPr>
                <w:rFonts w:ascii="Arial" w:hAnsi="Arial"/>
                <w:b/>
                <w:color w:val="FFFFFF"/>
                <w:sz w:val="16"/>
              </w:rPr>
              <w:t>Purpose</w:t>
            </w:r>
          </w:p>
        </w:tc>
        <w:tc>
          <w:tcPr>
            <w:tcW w:type="dxa" w:w="3816"/>
            <w:shd w:fill="172033"/>
            <w:tcMar>
              <w:top w:w="75" w:type="dxa"/>
              <w:start w:w="90" w:type="dxa"/>
              <w:bottom w:w="75" w:type="dxa"/>
              <w:end w:w="90" w:type="dxa"/>
            </w:tcMar>
            <w:vAlign w:val="center"/>
          </w:tcPr>
          <w:p>
            <w:pPr>
              <w:jc w:val="left"/>
            </w:pPr>
            <w:r>
              <w:rPr>
                <w:rFonts w:ascii="Arial" w:hAnsi="Arial"/>
                <w:b/>
                <w:color w:val="FFFFFF"/>
                <w:sz w:val="16"/>
              </w:rPr>
              <w:t>Key outputs</w:t>
            </w:r>
          </w:p>
        </w:tc>
      </w:tr>
      <w:tr>
        <w:trPr>
          <w:cantSplit/>
        </w:trPr>
        <w:tc>
          <w:tcPr>
            <w:tcW w:type="dxa" w:w="1944"/>
            <w:tcMar>
              <w:top w:w="65" w:type="dxa"/>
              <w:start w:w="90" w:type="dxa"/>
              <w:bottom w:w="65" w:type="dxa"/>
              <w:end w:w="90" w:type="dxa"/>
            </w:tcMar>
          </w:tcPr>
          <w:p>
            <w:pPr>
              <w:spacing w:after="0"/>
            </w:pPr>
            <w:r>
              <w:rPr>
                <w:rFonts w:ascii="Arial" w:hAnsi="Arial"/>
                <w:sz w:val="14"/>
              </w:rPr>
              <w:t>1. Data foundation</w:t>
            </w:r>
          </w:p>
        </w:tc>
        <w:tc>
          <w:tcPr>
            <w:tcW w:type="dxa" w:w="4608"/>
            <w:tcMar>
              <w:top w:w="65" w:type="dxa"/>
              <w:start w:w="90" w:type="dxa"/>
              <w:bottom w:w="65" w:type="dxa"/>
              <w:end w:w="90" w:type="dxa"/>
            </w:tcMar>
          </w:tcPr>
          <w:p>
            <w:pPr>
              <w:spacing w:after="0"/>
            </w:pPr>
            <w:r>
              <w:rPr>
                <w:rFonts w:ascii="Arial" w:hAnsi="Arial"/>
                <w:sz w:val="14"/>
              </w:rPr>
              <w:t>Load, validate, normalize, and version market/reference data.</w:t>
            </w:r>
          </w:p>
        </w:tc>
        <w:tc>
          <w:tcPr>
            <w:tcW w:type="dxa" w:w="3816"/>
            <w:tcMar>
              <w:top w:w="65" w:type="dxa"/>
              <w:start w:w="90" w:type="dxa"/>
              <w:bottom w:w="65" w:type="dxa"/>
              <w:end w:w="90" w:type="dxa"/>
            </w:tcMar>
          </w:tcPr>
          <w:p>
            <w:pPr>
              <w:spacing w:after="0"/>
            </w:pPr>
            <w:r>
              <w:rPr>
                <w:rFonts w:ascii="Arial" w:hAnsi="Arial"/>
                <w:sz w:val="14"/>
              </w:rPr>
              <w:t>Trusted bars, active-contract schedule, quality reports, dataset manifest.</w:t>
            </w:r>
          </w:p>
        </w:tc>
      </w:tr>
      <w:tr>
        <w:trPr>
          <w:cantSplit/>
        </w:trPr>
        <w:tc>
          <w:tcPr>
            <w:tcW w:type="dxa" w:w="1944"/>
            <w:tcMar>
              <w:top w:w="65" w:type="dxa"/>
              <w:start w:w="90" w:type="dxa"/>
              <w:bottom w:w="65" w:type="dxa"/>
              <w:end w:w="90" w:type="dxa"/>
            </w:tcMar>
            <w:shd w:fill="F3F5F7"/>
          </w:tcPr>
          <w:p>
            <w:pPr>
              <w:spacing w:after="0"/>
            </w:pPr>
            <w:r>
              <w:rPr>
                <w:rFonts w:ascii="Arial" w:hAnsi="Arial"/>
                <w:sz w:val="14"/>
              </w:rPr>
              <w:t>2. Feature and label layer</w:t>
            </w:r>
          </w:p>
        </w:tc>
        <w:tc>
          <w:tcPr>
            <w:tcW w:type="dxa" w:w="4608"/>
            <w:tcMar>
              <w:top w:w="65" w:type="dxa"/>
              <w:start w:w="90" w:type="dxa"/>
              <w:bottom w:w="65" w:type="dxa"/>
              <w:end w:w="90" w:type="dxa"/>
            </w:tcMar>
            <w:shd w:fill="F3F5F7"/>
          </w:tcPr>
          <w:p>
            <w:pPr>
              <w:spacing w:after="0"/>
            </w:pPr>
            <w:r>
              <w:rPr>
                <w:rFonts w:ascii="Arial" w:hAnsi="Arial"/>
                <w:sz w:val="14"/>
              </w:rPr>
              <w:t>Create causal market-state features and future outcomes under strict availability rules.</w:t>
            </w:r>
          </w:p>
        </w:tc>
        <w:tc>
          <w:tcPr>
            <w:tcW w:type="dxa" w:w="3816"/>
            <w:tcMar>
              <w:top w:w="65" w:type="dxa"/>
              <w:start w:w="90" w:type="dxa"/>
              <w:bottom w:w="65" w:type="dxa"/>
              <w:end w:w="90" w:type="dxa"/>
            </w:tcMar>
            <w:shd w:fill="F3F5F7"/>
          </w:tcPr>
          <w:p>
            <w:pPr>
              <w:spacing w:after="0"/>
            </w:pPr>
            <w:r>
              <w:rPr>
                <w:rFonts w:ascii="Arial" w:hAnsi="Arial"/>
                <w:sz w:val="14"/>
              </w:rPr>
              <w:t>Feature registry, feature matrix, label tables, audit fields.</w:t>
            </w:r>
          </w:p>
        </w:tc>
      </w:tr>
      <w:tr>
        <w:trPr>
          <w:cantSplit/>
        </w:trPr>
        <w:tc>
          <w:tcPr>
            <w:tcW w:type="dxa" w:w="1944"/>
            <w:tcMar>
              <w:top w:w="65" w:type="dxa"/>
              <w:start w:w="90" w:type="dxa"/>
              <w:bottom w:w="65" w:type="dxa"/>
              <w:end w:w="90" w:type="dxa"/>
            </w:tcMar>
          </w:tcPr>
          <w:p>
            <w:pPr>
              <w:spacing w:after="0"/>
            </w:pPr>
            <w:r>
              <w:rPr>
                <w:rFonts w:ascii="Arial" w:hAnsi="Arial"/>
                <w:sz w:val="14"/>
              </w:rPr>
              <w:t>3. Research branches</w:t>
            </w:r>
          </w:p>
        </w:tc>
        <w:tc>
          <w:tcPr>
            <w:tcW w:type="dxa" w:w="4608"/>
            <w:tcMar>
              <w:top w:w="65" w:type="dxa"/>
              <w:start w:w="90" w:type="dxa"/>
              <w:bottom w:w="65" w:type="dxa"/>
              <w:end w:w="90" w:type="dxa"/>
            </w:tcMar>
          </w:tcPr>
          <w:p>
            <w:pPr>
              <w:spacing w:after="0"/>
            </w:pPr>
            <w:r>
              <w:rPr>
                <w:rFonts w:ascii="Arial" w:hAnsi="Arial"/>
                <w:sz w:val="14"/>
              </w:rPr>
              <w:t>Evaluate the discretionary POI hypothesis and independent statistical hypotheses separately.</w:t>
            </w:r>
          </w:p>
        </w:tc>
        <w:tc>
          <w:tcPr>
            <w:tcW w:type="dxa" w:w="3816"/>
            <w:tcMar>
              <w:top w:w="65" w:type="dxa"/>
              <w:start w:w="90" w:type="dxa"/>
              <w:bottom w:w="65" w:type="dxa"/>
              <w:end w:w="90" w:type="dxa"/>
            </w:tcMar>
          </w:tcPr>
          <w:p>
            <w:pPr>
              <w:spacing w:after="0"/>
            </w:pPr>
            <w:r>
              <w:rPr>
                <w:rFonts w:ascii="Arial" w:hAnsi="Arial"/>
                <w:sz w:val="14"/>
              </w:rPr>
              <w:t>Event studies, feature screens, shortlists, rejected hypotheses, frozen definitions.</w:t>
            </w:r>
          </w:p>
        </w:tc>
      </w:tr>
      <w:tr>
        <w:trPr>
          <w:cantSplit/>
        </w:trPr>
        <w:tc>
          <w:tcPr>
            <w:tcW w:type="dxa" w:w="1944"/>
            <w:tcMar>
              <w:top w:w="65" w:type="dxa"/>
              <w:start w:w="90" w:type="dxa"/>
              <w:bottom w:w="65" w:type="dxa"/>
              <w:end w:w="90" w:type="dxa"/>
            </w:tcMar>
            <w:shd w:fill="F3F5F7"/>
          </w:tcPr>
          <w:p>
            <w:pPr>
              <w:spacing w:after="0"/>
            </w:pPr>
            <w:r>
              <w:rPr>
                <w:rFonts w:ascii="Arial" w:hAnsi="Arial"/>
                <w:sz w:val="14"/>
              </w:rPr>
              <w:t>4. Signal synthesis</w:t>
            </w:r>
          </w:p>
        </w:tc>
        <w:tc>
          <w:tcPr>
            <w:tcW w:type="dxa" w:w="4608"/>
            <w:tcMar>
              <w:top w:w="65" w:type="dxa"/>
              <w:start w:w="90" w:type="dxa"/>
              <w:bottom w:w="65" w:type="dxa"/>
              <w:end w:w="90" w:type="dxa"/>
            </w:tcMar>
            <w:shd w:fill="F3F5F7"/>
          </w:tcPr>
          <w:p>
            <w:pPr>
              <w:spacing w:after="0"/>
            </w:pPr>
            <w:r>
              <w:rPr>
                <w:rFonts w:ascii="Arial" w:hAnsi="Arial"/>
                <w:sz w:val="14"/>
              </w:rPr>
              <w:t>Translate validated evidence into deterministic long/short/no-trade rules or calibrated probabilities.</w:t>
            </w:r>
          </w:p>
        </w:tc>
        <w:tc>
          <w:tcPr>
            <w:tcW w:type="dxa" w:w="3816"/>
            <w:tcMar>
              <w:top w:w="65" w:type="dxa"/>
              <w:start w:w="90" w:type="dxa"/>
              <w:bottom w:w="65" w:type="dxa"/>
              <w:end w:w="90" w:type="dxa"/>
            </w:tcMar>
            <w:shd w:fill="F3F5F7"/>
          </w:tcPr>
          <w:p>
            <w:pPr>
              <w:spacing w:after="0"/>
            </w:pPr>
            <w:r>
              <w:rPr>
                <w:rFonts w:ascii="Arial" w:hAnsi="Arial"/>
                <w:sz w:val="14"/>
              </w:rPr>
              <w:t>Versioned strategy specification and parameter set.</w:t>
            </w:r>
          </w:p>
        </w:tc>
      </w:tr>
      <w:tr>
        <w:trPr>
          <w:cantSplit/>
        </w:trPr>
        <w:tc>
          <w:tcPr>
            <w:tcW w:type="dxa" w:w="1944"/>
            <w:tcMar>
              <w:top w:w="65" w:type="dxa"/>
              <w:start w:w="90" w:type="dxa"/>
              <w:bottom w:w="65" w:type="dxa"/>
              <w:end w:w="90" w:type="dxa"/>
            </w:tcMar>
          </w:tcPr>
          <w:p>
            <w:pPr>
              <w:spacing w:after="0"/>
            </w:pPr>
            <w:r>
              <w:rPr>
                <w:rFonts w:ascii="Arial" w:hAnsi="Arial"/>
                <w:sz w:val="14"/>
              </w:rPr>
              <w:t>5. Sequential backtester</w:t>
            </w:r>
          </w:p>
        </w:tc>
        <w:tc>
          <w:tcPr>
            <w:tcW w:type="dxa" w:w="4608"/>
            <w:tcMar>
              <w:top w:w="65" w:type="dxa"/>
              <w:start w:w="90" w:type="dxa"/>
              <w:bottom w:w="65" w:type="dxa"/>
              <w:end w:w="90" w:type="dxa"/>
            </w:tcMar>
          </w:tcPr>
          <w:p>
            <w:pPr>
              <w:spacing w:after="0"/>
            </w:pPr>
            <w:r>
              <w:rPr>
                <w:rFonts w:ascii="Arial" w:hAnsi="Arial"/>
                <w:sz w:val="14"/>
              </w:rPr>
              <w:t>Simulate stateful orders, fills, positions, exits, account P&amp;L, costs, and constraints.</w:t>
            </w:r>
          </w:p>
        </w:tc>
        <w:tc>
          <w:tcPr>
            <w:tcW w:type="dxa" w:w="3816"/>
            <w:tcMar>
              <w:top w:w="65" w:type="dxa"/>
              <w:start w:w="90" w:type="dxa"/>
              <w:bottom w:w="65" w:type="dxa"/>
              <w:end w:w="90" w:type="dxa"/>
            </w:tcMar>
          </w:tcPr>
          <w:p>
            <w:pPr>
              <w:spacing w:after="0"/>
            </w:pPr>
            <w:r>
              <w:rPr>
                <w:rFonts w:ascii="Arial" w:hAnsi="Arial"/>
                <w:sz w:val="14"/>
              </w:rPr>
              <w:t>Trade log, equity curve, drawdown path, diagnostics, scenario results.</w:t>
            </w:r>
          </w:p>
        </w:tc>
      </w:tr>
      <w:tr>
        <w:trPr>
          <w:cantSplit/>
        </w:trPr>
        <w:tc>
          <w:tcPr>
            <w:tcW w:type="dxa" w:w="1944"/>
            <w:tcMar>
              <w:top w:w="65" w:type="dxa"/>
              <w:start w:w="90" w:type="dxa"/>
              <w:bottom w:w="65" w:type="dxa"/>
              <w:end w:w="90" w:type="dxa"/>
            </w:tcMar>
            <w:shd w:fill="F3F5F7"/>
          </w:tcPr>
          <w:p>
            <w:pPr>
              <w:spacing w:after="0"/>
            </w:pPr>
            <w:r>
              <w:rPr>
                <w:rFonts w:ascii="Arial" w:hAnsi="Arial"/>
                <w:sz w:val="14"/>
              </w:rPr>
              <w:t>6. Prop-firm policy engine</w:t>
            </w:r>
          </w:p>
        </w:tc>
        <w:tc>
          <w:tcPr>
            <w:tcW w:type="dxa" w:w="4608"/>
            <w:tcMar>
              <w:top w:w="65" w:type="dxa"/>
              <w:start w:w="90" w:type="dxa"/>
              <w:bottom w:w="65" w:type="dxa"/>
              <w:end w:w="90" w:type="dxa"/>
            </w:tcMar>
            <w:shd w:fill="F3F5F7"/>
          </w:tcPr>
          <w:p>
            <w:pPr>
              <w:spacing w:after="0"/>
            </w:pPr>
            <w:r>
              <w:rPr>
                <w:rFonts w:ascii="Arial" w:hAnsi="Arial"/>
                <w:sz w:val="14"/>
              </w:rPr>
              <w:t>Apply provider-specific account rules as configurable constraints.</w:t>
            </w:r>
          </w:p>
        </w:tc>
        <w:tc>
          <w:tcPr>
            <w:tcW w:type="dxa" w:w="3816"/>
            <w:tcMar>
              <w:top w:w="65" w:type="dxa"/>
              <w:start w:w="90" w:type="dxa"/>
              <w:bottom w:w="65" w:type="dxa"/>
              <w:end w:w="90" w:type="dxa"/>
            </w:tcMar>
            <w:shd w:fill="F3F5F7"/>
          </w:tcPr>
          <w:p>
            <w:pPr>
              <w:spacing w:after="0"/>
            </w:pPr>
            <w:r>
              <w:rPr>
                <w:rFonts w:ascii="Arial" w:hAnsi="Arial"/>
                <w:sz w:val="14"/>
              </w:rPr>
              <w:t>Rule-compliant pass/fail simulation, breach log, pass probability.</w:t>
            </w:r>
          </w:p>
        </w:tc>
      </w:tr>
      <w:tr>
        <w:trPr>
          <w:cantSplit/>
        </w:trPr>
        <w:tc>
          <w:tcPr>
            <w:tcW w:type="dxa" w:w="1944"/>
            <w:tcMar>
              <w:top w:w="65" w:type="dxa"/>
              <w:start w:w="90" w:type="dxa"/>
              <w:bottom w:w="65" w:type="dxa"/>
              <w:end w:w="90" w:type="dxa"/>
            </w:tcMar>
          </w:tcPr>
          <w:p>
            <w:pPr>
              <w:spacing w:after="0"/>
            </w:pPr>
            <w:r>
              <w:rPr>
                <w:rFonts w:ascii="Arial" w:hAnsi="Arial"/>
                <w:sz w:val="14"/>
              </w:rPr>
              <w:t>7. Execution adapter</w:t>
            </w:r>
          </w:p>
        </w:tc>
        <w:tc>
          <w:tcPr>
            <w:tcW w:type="dxa" w:w="4608"/>
            <w:tcMar>
              <w:top w:w="65" w:type="dxa"/>
              <w:start w:w="90" w:type="dxa"/>
              <w:bottom w:w="65" w:type="dxa"/>
              <w:end w:w="90" w:type="dxa"/>
            </w:tcMar>
          </w:tcPr>
          <w:p>
            <w:pPr>
              <w:spacing w:after="0"/>
            </w:pPr>
            <w:r>
              <w:rPr>
                <w:rFonts w:ascii="Arial" w:hAnsi="Arial"/>
                <w:sz w:val="14"/>
              </w:rPr>
              <w:t>Connect the frozen strategy and risk engine to Rithmic or an approved supported platform/API.</w:t>
            </w:r>
          </w:p>
        </w:tc>
        <w:tc>
          <w:tcPr>
            <w:tcW w:type="dxa" w:w="3816"/>
            <w:tcMar>
              <w:top w:w="65" w:type="dxa"/>
              <w:start w:w="90" w:type="dxa"/>
              <w:bottom w:w="65" w:type="dxa"/>
              <w:end w:w="90" w:type="dxa"/>
            </w:tcMar>
          </w:tcPr>
          <w:p>
            <w:pPr>
              <w:spacing w:after="0"/>
            </w:pPr>
            <w:r>
              <w:rPr>
                <w:rFonts w:ascii="Arial" w:hAnsi="Arial"/>
                <w:sz w:val="14"/>
              </w:rPr>
              <w:t>Orders, acknowledgements, fills, positions, reconciliations.</w:t>
            </w:r>
          </w:p>
        </w:tc>
      </w:tr>
      <w:tr>
        <w:trPr>
          <w:cantSplit/>
        </w:trPr>
        <w:tc>
          <w:tcPr>
            <w:tcW w:type="dxa" w:w="1944"/>
            <w:tcMar>
              <w:top w:w="65" w:type="dxa"/>
              <w:start w:w="90" w:type="dxa"/>
              <w:bottom w:w="65" w:type="dxa"/>
              <w:end w:w="90" w:type="dxa"/>
            </w:tcMar>
            <w:shd w:fill="F3F5F7"/>
          </w:tcPr>
          <w:p>
            <w:pPr>
              <w:spacing w:after="0"/>
            </w:pPr>
            <w:r>
              <w:rPr>
                <w:rFonts w:ascii="Arial" w:hAnsi="Arial"/>
                <w:sz w:val="14"/>
              </w:rPr>
              <w:t>8. Risk and monitoring</w:t>
            </w:r>
          </w:p>
        </w:tc>
        <w:tc>
          <w:tcPr>
            <w:tcW w:type="dxa" w:w="4608"/>
            <w:tcMar>
              <w:top w:w="65" w:type="dxa"/>
              <w:start w:w="90" w:type="dxa"/>
              <w:bottom w:w="65" w:type="dxa"/>
              <w:end w:w="90" w:type="dxa"/>
            </w:tcMar>
            <w:shd w:fill="F3F5F7"/>
          </w:tcPr>
          <w:p>
            <w:pPr>
              <w:spacing w:after="0"/>
            </w:pPr>
            <w:r>
              <w:rPr>
                <w:rFonts w:ascii="Arial" w:hAnsi="Arial"/>
                <w:sz w:val="14"/>
              </w:rPr>
              <w:t>Enforce limits and detect failures independently of signal logic.</w:t>
            </w:r>
          </w:p>
        </w:tc>
        <w:tc>
          <w:tcPr>
            <w:tcW w:type="dxa" w:w="3816"/>
            <w:tcMar>
              <w:top w:w="65" w:type="dxa"/>
              <w:start w:w="90" w:type="dxa"/>
              <w:bottom w:w="65" w:type="dxa"/>
              <w:end w:w="90" w:type="dxa"/>
            </w:tcMar>
            <w:shd w:fill="F3F5F7"/>
          </w:tcPr>
          <w:p>
            <w:pPr>
              <w:spacing w:after="0"/>
            </w:pPr>
            <w:r>
              <w:rPr>
                <w:rFonts w:ascii="Arial" w:hAnsi="Arial"/>
                <w:sz w:val="14"/>
              </w:rPr>
              <w:t>Kill switches, alerts, daily controls, audit logs, recovery state.</w:t>
            </w:r>
          </w:p>
        </w:tc>
      </w:tr>
      <w:tr>
        <w:trPr>
          <w:cantSplit/>
        </w:trPr>
        <w:tc>
          <w:tcPr>
            <w:tcW w:type="dxa" w:w="1944"/>
            <w:tcMar>
              <w:top w:w="65" w:type="dxa"/>
              <w:start w:w="90" w:type="dxa"/>
              <w:bottom w:w="65" w:type="dxa"/>
              <w:end w:w="90" w:type="dxa"/>
            </w:tcMar>
          </w:tcPr>
          <w:p>
            <w:pPr>
              <w:spacing w:after="0"/>
            </w:pPr>
            <w:r>
              <w:rPr>
                <w:rFonts w:ascii="Arial" w:hAnsi="Arial"/>
                <w:sz w:val="14"/>
              </w:rPr>
              <w:t>9. Reporting and governance</w:t>
            </w:r>
          </w:p>
        </w:tc>
        <w:tc>
          <w:tcPr>
            <w:tcW w:type="dxa" w:w="4608"/>
            <w:tcMar>
              <w:top w:w="65" w:type="dxa"/>
              <w:start w:w="90" w:type="dxa"/>
              <w:bottom w:w="65" w:type="dxa"/>
              <w:end w:w="90" w:type="dxa"/>
            </w:tcMar>
          </w:tcPr>
          <w:p>
            <w:pPr>
              <w:spacing w:after="0"/>
            </w:pPr>
            <w:r>
              <w:rPr>
                <w:rFonts w:ascii="Arial" w:hAnsi="Arial"/>
                <w:sz w:val="14"/>
              </w:rPr>
              <w:t>Make every decision and run reproducible and reviewable.</w:t>
            </w:r>
          </w:p>
        </w:tc>
        <w:tc>
          <w:tcPr>
            <w:tcW w:type="dxa" w:w="3816"/>
            <w:tcMar>
              <w:top w:w="65" w:type="dxa"/>
              <w:start w:w="90" w:type="dxa"/>
              <w:bottom w:w="65" w:type="dxa"/>
              <w:end w:w="90" w:type="dxa"/>
            </w:tcMar>
          </w:tcPr>
          <w:p>
            <w:pPr>
              <w:spacing w:after="0"/>
            </w:pPr>
            <w:r>
              <w:rPr>
                <w:rFonts w:ascii="Arial" w:hAnsi="Arial"/>
                <w:sz w:val="14"/>
              </w:rPr>
              <w:t>Run manifests, reports, model cards, approvals, version history.</w:t>
            </w:r>
          </w:p>
        </w:tc>
      </w:tr>
    </w:tbl>
    <w:p>
      <w:pPr>
        <w:spacing w:after="0"/>
        <w:widowControl/>
      </w:pPr>
    </w:p>
    <w:p>
      <w:pPr>
        <w:pStyle w:val="Heading2"/>
        <w:widowControl/>
      </w:pPr>
      <w:r>
        <w:rPr>
          <w:rFonts w:ascii="Arial" w:hAnsi="Arial"/>
          <w:b/>
          <w:color w:val="B88A2A"/>
          <w:sz w:val="26"/>
        </w:rPr>
        <w:t>Research-to-deployment flow</w:t>
      </w:r>
    </w:p>
    <w:tbl>
      <w:tblPr>
        <w:tblW w:type="auto" w:w="0"/>
        <w:jc w:val="center"/>
        <w:tblLayout w:type="autofit"/>
        <w:tblLook w:firstColumn="1" w:firstRow="1" w:lastColumn="0" w:lastRow="0" w:noHBand="0" w:noVBand="1" w:val="04A0"/>
      </w:tblPr>
      <w:tblGrid>
        <w:gridCol w:w="9994"/>
      </w:tblGrid>
      <w:tr>
        <w:trPr>
          <w:cantSplit/>
        </w:trPr>
        <w:tc>
          <w:tcPr>
            <w:tcW w:type="dxa" w:w="9994"/>
            <w:shd w:fill="F3F5F7"/>
            <w:tcBorders>
              <w:top w:val="single" w:sz="10" w:color="B88A2A"/>
              <w:left w:val="single" w:sz="10" w:color="B88A2A"/>
              <w:bottom w:val="single" w:sz="10" w:color="B88A2A"/>
              <w:right w:val="single" w:sz="10" w:color="B88A2A"/>
            </w:tcBorders>
            <w:tcMar>
              <w:top w:w="100" w:type="dxa"/>
              <w:start w:w="130" w:type="dxa"/>
              <w:bottom w:w="100" w:type="dxa"/>
              <w:end w:w="130" w:type="dxa"/>
            </w:tcMar>
          </w:tcPr>
          <w:p>
            <w:pPr>
              <w:spacing w:after="40"/>
            </w:pPr>
            <w:r>
              <w:rPr>
                <w:rFonts w:ascii="Arial" w:hAnsi="Arial"/>
                <w:b/>
                <w:color w:val="172033"/>
                <w:sz w:val="19"/>
              </w:rPr>
              <w:t>Controlled progression</w:t>
            </w:r>
          </w:p>
          <w:p>
            <w:pPr>
              <w:spacing w:after="0"/>
            </w:pPr>
            <w:r>
              <w:rPr>
                <w:rFonts w:ascii="Arial" w:hAnsi="Arial"/>
                <w:sz w:val="18"/>
              </w:rPr>
              <w:t>Trusted Data  →  Independent Research  →  Frozen Strategy  →  Sequential Backtest  →  Prop-Rule Simulation  →  Rithmic Forward Test  →  Controlled Deployment</w:t>
            </w:r>
          </w:p>
        </w:tc>
      </w:tr>
    </w:tbl>
    <w:p>
      <w:pPr>
        <w:spacing w:after="0"/>
        <w:widowControl/>
      </w:pPr>
    </w:p>
    <w:p>
      <w:pPr>
        <w:pStyle w:val="Heading1"/>
        <w:pBdr>
          <w:bottom w:val="single" w:sz="8" w:space="3" w:color="B88A2A"/>
        </w:pBdr>
        <w:widowControl/>
      </w:pPr>
      <w:r>
        <w:rPr>
          <w:rFonts w:ascii="Arial" w:hAnsi="Arial"/>
          <w:b/>
          <w:color w:val="172033"/>
          <w:sz w:val="36"/>
        </w:rPr>
        <w:t>9. Hybrid System Definition</w:t>
      </w:r>
    </w:p>
    <w:p>
      <w:pPr>
        <w:widowControl/>
      </w:pPr>
      <w:r>
        <w:rPr>
          <w:rFonts w:ascii="Arial" w:hAnsi="Arial"/>
          <w:i w:val="0"/>
        </w:rPr>
        <w:t>“Hybrid” must be defined precisely. It must not become an untestable arrangement in which a human changes signals after seeing the outcome. The project will evaluate hybrid designs as separate, logged products with explicit decision authority.</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trPr>
        <w:tc>
          <w:tcPr>
            <w:tcW w:type="dxa" w:w="2304"/>
            <w:shd w:fill="172033"/>
            <w:tcMar>
              <w:top w:w="75" w:type="dxa"/>
              <w:start w:w="90" w:type="dxa"/>
              <w:bottom w:w="75" w:type="dxa"/>
              <w:end w:w="90" w:type="dxa"/>
            </w:tcMar>
            <w:vAlign w:val="center"/>
          </w:tcPr>
          <w:p>
            <w:pPr>
              <w:jc w:val="left"/>
            </w:pPr>
            <w:r>
              <w:rPr>
                <w:rFonts w:ascii="Arial" w:hAnsi="Arial"/>
                <w:b/>
                <w:color w:val="FFFFFF"/>
                <w:sz w:val="16"/>
              </w:rPr>
              <w:t>Hybrid mode</w:t>
            </w:r>
          </w:p>
        </w:tc>
        <w:tc>
          <w:tcPr>
            <w:tcW w:type="dxa" w:w="3960"/>
            <w:shd w:fill="172033"/>
            <w:tcMar>
              <w:top w:w="75" w:type="dxa"/>
              <w:start w:w="90" w:type="dxa"/>
              <w:bottom w:w="75" w:type="dxa"/>
              <w:end w:w="90" w:type="dxa"/>
            </w:tcMar>
            <w:vAlign w:val="center"/>
          </w:tcPr>
          <w:p>
            <w:pPr>
              <w:jc w:val="left"/>
            </w:pPr>
            <w:r>
              <w:rPr>
                <w:rFonts w:ascii="Arial" w:hAnsi="Arial"/>
                <w:b/>
                <w:color w:val="FFFFFF"/>
                <w:sz w:val="16"/>
              </w:rPr>
              <w:t>Description</w:t>
            </w:r>
          </w:p>
        </w:tc>
        <w:tc>
          <w:tcPr>
            <w:tcW w:type="dxa" w:w="4104"/>
            <w:shd w:fill="172033"/>
            <w:tcMar>
              <w:top w:w="75" w:type="dxa"/>
              <w:start w:w="90" w:type="dxa"/>
              <w:bottom w:w="75" w:type="dxa"/>
              <w:end w:w="90" w:type="dxa"/>
            </w:tcMar>
            <w:vAlign w:val="center"/>
          </w:tcPr>
          <w:p>
            <w:pPr>
              <w:jc w:val="left"/>
            </w:pPr>
            <w:r>
              <w:rPr>
                <w:rFonts w:ascii="Arial" w:hAnsi="Arial"/>
                <w:b/>
                <w:color w:val="FFFFFF"/>
                <w:sz w:val="16"/>
              </w:rPr>
              <w:t>Research requirement</w:t>
            </w:r>
          </w:p>
        </w:tc>
      </w:tr>
      <w:tr>
        <w:trPr>
          <w:cantSplit/>
        </w:trPr>
        <w:tc>
          <w:tcPr>
            <w:tcW w:type="dxa" w:w="2304"/>
            <w:tcMar>
              <w:top w:w="65" w:type="dxa"/>
              <w:start w:w="90" w:type="dxa"/>
              <w:bottom w:w="65" w:type="dxa"/>
              <w:end w:w="90" w:type="dxa"/>
            </w:tcMar>
          </w:tcPr>
          <w:p>
            <w:pPr>
              <w:spacing w:after="0"/>
            </w:pPr>
            <w:r>
              <w:rPr>
                <w:rFonts w:ascii="Arial" w:hAnsi="Arial"/>
                <w:sz w:val="15"/>
              </w:rPr>
              <w:t>A. Systematic POI conversion</w:t>
            </w:r>
          </w:p>
        </w:tc>
        <w:tc>
          <w:tcPr>
            <w:tcW w:type="dxa" w:w="3960"/>
            <w:tcMar>
              <w:top w:w="65" w:type="dxa"/>
              <w:start w:w="90" w:type="dxa"/>
              <w:bottom w:w="65" w:type="dxa"/>
              <w:end w:w="90" w:type="dxa"/>
            </w:tcMar>
          </w:tcPr>
          <w:p>
            <w:pPr>
              <w:spacing w:after="0"/>
            </w:pPr>
            <w:r>
              <w:rPr>
                <w:rFonts w:ascii="Arial" w:hAnsi="Arial"/>
                <w:sz w:val="15"/>
              </w:rPr>
              <w:t>The algorithm fully encodes the discretionary setup and executes it without human confirmation.</w:t>
            </w:r>
          </w:p>
        </w:tc>
        <w:tc>
          <w:tcPr>
            <w:tcW w:type="dxa" w:w="4104"/>
            <w:tcMar>
              <w:top w:w="65" w:type="dxa"/>
              <w:start w:w="90" w:type="dxa"/>
              <w:bottom w:w="65" w:type="dxa"/>
              <w:end w:w="90" w:type="dxa"/>
            </w:tcMar>
          </w:tcPr>
          <w:p>
            <w:pPr>
              <w:spacing w:after="0"/>
            </w:pPr>
            <w:r>
              <w:rPr>
                <w:rFonts w:ascii="Arial" w:hAnsi="Arial"/>
                <w:sz w:val="15"/>
              </w:rPr>
              <w:t>Every formation, context filter, entry, stop, target, and invalidation rule must be deterministic.</w:t>
            </w:r>
          </w:p>
        </w:tc>
      </w:tr>
      <w:tr>
        <w:trPr>
          <w:cantSplit/>
        </w:trPr>
        <w:tc>
          <w:tcPr>
            <w:tcW w:type="dxa" w:w="2304"/>
            <w:tcMar>
              <w:top w:w="65" w:type="dxa"/>
              <w:start w:w="90" w:type="dxa"/>
              <w:bottom w:w="65" w:type="dxa"/>
              <w:end w:w="90" w:type="dxa"/>
            </w:tcMar>
            <w:shd w:fill="F3F5F7"/>
          </w:tcPr>
          <w:p>
            <w:pPr>
              <w:spacing w:after="0"/>
            </w:pPr>
            <w:r>
              <w:rPr>
                <w:rFonts w:ascii="Arial" w:hAnsi="Arial"/>
                <w:sz w:val="15"/>
              </w:rPr>
              <w:t>B. Statistical filter/ranker</w:t>
            </w:r>
          </w:p>
        </w:tc>
        <w:tc>
          <w:tcPr>
            <w:tcW w:type="dxa" w:w="3960"/>
            <w:tcMar>
              <w:top w:w="65" w:type="dxa"/>
              <w:start w:w="90" w:type="dxa"/>
              <w:bottom w:w="65" w:type="dxa"/>
              <w:end w:w="90" w:type="dxa"/>
            </w:tcMar>
            <w:shd w:fill="F3F5F7"/>
          </w:tcPr>
          <w:p>
            <w:pPr>
              <w:spacing w:after="0"/>
            </w:pPr>
            <w:r>
              <w:rPr>
                <w:rFonts w:ascii="Arial" w:hAnsi="Arial"/>
                <w:sz w:val="15"/>
              </w:rPr>
              <w:t>The POI system generates opportunities; independent statistical features filter, rank, size, or select direction.</w:t>
            </w:r>
          </w:p>
        </w:tc>
        <w:tc>
          <w:tcPr>
            <w:tcW w:type="dxa" w:w="4104"/>
            <w:tcMar>
              <w:top w:w="65" w:type="dxa"/>
              <w:start w:w="90" w:type="dxa"/>
              <w:bottom w:w="65" w:type="dxa"/>
              <w:end w:w="90" w:type="dxa"/>
            </w:tcMar>
            <w:shd w:fill="F3F5F7"/>
          </w:tcPr>
          <w:p>
            <w:pPr>
              <w:spacing w:after="0"/>
            </w:pPr>
            <w:r>
              <w:rPr>
                <w:rFonts w:ascii="Arial" w:hAnsi="Arial"/>
                <w:sz w:val="15"/>
              </w:rPr>
              <w:t>The statistical feature set must be frozen before POI integration. Incremental out-of-sample value must be measured beyond the POI baseline.</w:t>
            </w:r>
          </w:p>
        </w:tc>
      </w:tr>
      <w:tr>
        <w:trPr>
          <w:cantSplit/>
        </w:trPr>
        <w:tc>
          <w:tcPr>
            <w:tcW w:type="dxa" w:w="2304"/>
            <w:tcMar>
              <w:top w:w="65" w:type="dxa"/>
              <w:start w:w="90" w:type="dxa"/>
              <w:bottom w:w="65" w:type="dxa"/>
              <w:end w:w="90" w:type="dxa"/>
            </w:tcMar>
          </w:tcPr>
          <w:p>
            <w:pPr>
              <w:spacing w:after="0"/>
            </w:pPr>
            <w:r>
              <w:rPr>
                <w:rFonts w:ascii="Arial" w:hAnsi="Arial"/>
                <w:sz w:val="15"/>
              </w:rPr>
              <w:t>C. Human-in-the-loop approval</w:t>
            </w:r>
          </w:p>
        </w:tc>
        <w:tc>
          <w:tcPr>
            <w:tcW w:type="dxa" w:w="3960"/>
            <w:tcMar>
              <w:top w:w="65" w:type="dxa"/>
              <w:start w:w="90" w:type="dxa"/>
              <w:bottom w:w="65" w:type="dxa"/>
              <w:end w:w="90" w:type="dxa"/>
            </w:tcMar>
          </w:tcPr>
          <w:p>
            <w:pPr>
              <w:spacing w:after="0"/>
            </w:pPr>
            <w:r>
              <w:rPr>
                <w:rFonts w:ascii="Arial" w:hAnsi="Arial"/>
                <w:sz w:val="15"/>
              </w:rPr>
              <w:t>The algorithm generates a structured signal and the trader approves or rejects it before order submission.</w:t>
            </w:r>
          </w:p>
        </w:tc>
        <w:tc>
          <w:tcPr>
            <w:tcW w:type="dxa" w:w="4104"/>
            <w:tcMar>
              <w:top w:w="65" w:type="dxa"/>
              <w:start w:w="90" w:type="dxa"/>
              <w:bottom w:w="65" w:type="dxa"/>
              <w:end w:w="90" w:type="dxa"/>
            </w:tcMar>
          </w:tcPr>
          <w:p>
            <w:pPr>
              <w:spacing w:after="0"/>
            </w:pPr>
            <w:r>
              <w:rPr>
                <w:rFonts w:ascii="Arial" w:hAnsi="Arial"/>
                <w:sz w:val="15"/>
              </w:rPr>
              <w:t>Approval criteria and reasons must be logged. Human-approved performance must be compared against fully systematic performance and against all generated opportunities.</w:t>
            </w:r>
          </w:p>
        </w:tc>
      </w:tr>
      <w:tr>
        <w:trPr>
          <w:cantSplit/>
        </w:trPr>
        <w:tc>
          <w:tcPr>
            <w:tcW w:type="dxa" w:w="2304"/>
            <w:tcMar>
              <w:top w:w="65" w:type="dxa"/>
              <w:start w:w="90" w:type="dxa"/>
              <w:bottom w:w="65" w:type="dxa"/>
              <w:end w:w="90" w:type="dxa"/>
            </w:tcMar>
            <w:shd w:fill="F3F5F7"/>
          </w:tcPr>
          <w:p>
            <w:pPr>
              <w:spacing w:after="0"/>
            </w:pPr>
            <w:r>
              <w:rPr>
                <w:rFonts w:ascii="Arial" w:hAnsi="Arial"/>
                <w:sz w:val="15"/>
              </w:rPr>
              <w:t>D. Systematic core with discretionary risk veto</w:t>
            </w:r>
          </w:p>
        </w:tc>
        <w:tc>
          <w:tcPr>
            <w:tcW w:type="dxa" w:w="3960"/>
            <w:tcMar>
              <w:top w:w="65" w:type="dxa"/>
              <w:start w:w="90" w:type="dxa"/>
              <w:bottom w:w="65" w:type="dxa"/>
              <w:end w:w="90" w:type="dxa"/>
            </w:tcMar>
            <w:shd w:fill="F3F5F7"/>
          </w:tcPr>
          <w:p>
            <w:pPr>
              <w:spacing w:after="0"/>
            </w:pPr>
            <w:r>
              <w:rPr>
                <w:rFonts w:ascii="Arial" w:hAnsi="Arial"/>
                <w:sz w:val="15"/>
              </w:rPr>
              <w:t>The strategy is systematic, but a narrowly defined risk veto may disable trading under exceptional conditions.</w:t>
            </w:r>
          </w:p>
        </w:tc>
        <w:tc>
          <w:tcPr>
            <w:tcW w:type="dxa" w:w="4104"/>
            <w:tcMar>
              <w:top w:w="65" w:type="dxa"/>
              <w:start w:w="90" w:type="dxa"/>
              <w:bottom w:w="65" w:type="dxa"/>
              <w:end w:w="90" w:type="dxa"/>
            </w:tcMar>
            <w:shd w:fill="F3F5F7"/>
          </w:tcPr>
          <w:p>
            <w:pPr>
              <w:spacing w:after="0"/>
            </w:pPr>
            <w:r>
              <w:rPr>
                <w:rFonts w:ascii="Arial" w:hAnsi="Arial"/>
                <w:sz w:val="15"/>
              </w:rPr>
              <w:t>Veto conditions must be predeclared where possible; all interventions must be timestamped and independently reviewed.</w:t>
            </w:r>
          </w:p>
        </w:tc>
      </w:tr>
    </w:tbl>
    <w:p>
      <w:pPr>
        <w:spacing w:after="0"/>
        <w:widowControl/>
      </w:pPr>
    </w:p>
    <w:p>
      <w:pPr>
        <w:widowControl/>
      </w:pPr>
      <w:r>
        <w:rPr>
          <w:rFonts w:ascii="Arial" w:hAnsi="Arial"/>
          <w:i w:val="0"/>
        </w:rPr>
        <w:t>The long-term target is likely Mode B or a controlled combination of Modes B and C: discretionary market structure formalized into candidate events, independent statistics used to estimate opportunity quality, and a clear boundary between automated decisions and human authority.</w:t>
      </w:r>
    </w:p>
    <w:p>
      <w:pPr>
        <w:pStyle w:val="Heading1"/>
        <w:pBdr>
          <w:bottom w:val="single" w:sz="8" w:space="3" w:color="B88A2A"/>
        </w:pBdr>
        <w:widowControl/>
      </w:pPr>
      <w:r>
        <w:rPr>
          <w:rFonts w:ascii="Arial" w:hAnsi="Arial"/>
          <w:b/>
          <w:color w:val="172033"/>
          <w:sz w:val="36"/>
        </w:rPr>
        <w:t>10. Functional Requirements</w:t>
      </w:r>
    </w:p>
    <w:tbl>
      <w:tblPr>
        <w:tblStyle w:val="TableGrid"/>
        <w:tblW w:type="auto" w:w="0"/>
        <w:jc w:val="center"/>
        <w:tblLayout w:type="fixed"/>
        <w:tblLook w:firstColumn="1" w:firstRow="1" w:lastColumn="0" w:lastRow="0" w:noHBand="0" w:noVBand="1" w:val="04A0"/>
      </w:tblPr>
      <w:tblGrid>
        <w:gridCol w:w="2498"/>
        <w:gridCol w:w="2498"/>
        <w:gridCol w:w="2498"/>
        <w:gridCol w:w="2498"/>
      </w:tblGrid>
      <w:tr>
        <w:trPr>
          <w:tblHeader w:val="true"/>
        </w:trPr>
        <w:tc>
          <w:tcPr>
            <w:tcW w:type="dxa" w:w="792"/>
            <w:shd w:fill="172033"/>
            <w:tcMar>
              <w:top w:w="75" w:type="dxa"/>
              <w:start w:w="90" w:type="dxa"/>
              <w:bottom w:w="75" w:type="dxa"/>
              <w:end w:w="90" w:type="dxa"/>
            </w:tcMar>
            <w:vAlign w:val="center"/>
          </w:tcPr>
          <w:p>
            <w:pPr>
              <w:jc w:val="left"/>
            </w:pPr>
            <w:r>
              <w:rPr>
                <w:rFonts w:ascii="Arial" w:hAnsi="Arial"/>
                <w:b/>
                <w:color w:val="FFFFFF"/>
                <w:sz w:val="16"/>
              </w:rPr>
              <w:t>ID</w:t>
            </w:r>
          </w:p>
        </w:tc>
        <w:tc>
          <w:tcPr>
            <w:tcW w:type="dxa" w:w="720"/>
            <w:shd w:fill="172033"/>
            <w:tcMar>
              <w:top w:w="75" w:type="dxa"/>
              <w:start w:w="90" w:type="dxa"/>
              <w:bottom w:w="75" w:type="dxa"/>
              <w:end w:w="90" w:type="dxa"/>
            </w:tcMar>
            <w:vAlign w:val="center"/>
          </w:tcPr>
          <w:p>
            <w:pPr>
              <w:jc w:val="left"/>
            </w:pPr>
            <w:r>
              <w:rPr>
                <w:rFonts w:ascii="Arial" w:hAnsi="Arial"/>
                <w:b/>
                <w:color w:val="FFFFFF"/>
                <w:sz w:val="16"/>
              </w:rPr>
              <w:t>Priority</w:t>
            </w:r>
          </w:p>
        </w:tc>
        <w:tc>
          <w:tcPr>
            <w:tcW w:type="dxa" w:w="2520"/>
            <w:shd w:fill="172033"/>
            <w:tcMar>
              <w:top w:w="75" w:type="dxa"/>
              <w:start w:w="90" w:type="dxa"/>
              <w:bottom w:w="75" w:type="dxa"/>
              <w:end w:w="90" w:type="dxa"/>
            </w:tcMar>
            <w:vAlign w:val="center"/>
          </w:tcPr>
          <w:p>
            <w:pPr>
              <w:jc w:val="left"/>
            </w:pPr>
            <w:r>
              <w:rPr>
                <w:rFonts w:ascii="Arial" w:hAnsi="Arial"/>
                <w:b/>
                <w:color w:val="FFFFFF"/>
                <w:sz w:val="16"/>
              </w:rPr>
              <w:t>Capability</w:t>
            </w:r>
          </w:p>
        </w:tc>
        <w:tc>
          <w:tcPr>
            <w:tcW w:type="dxa" w:w="6336"/>
            <w:shd w:fill="172033"/>
            <w:tcMar>
              <w:top w:w="75" w:type="dxa"/>
              <w:start w:w="90" w:type="dxa"/>
              <w:bottom w:w="75" w:type="dxa"/>
              <w:end w:w="90" w:type="dxa"/>
            </w:tcMar>
            <w:vAlign w:val="center"/>
          </w:tcPr>
          <w:p>
            <w:pPr>
              <w:jc w:val="left"/>
            </w:pPr>
            <w:r>
              <w:rPr>
                <w:rFonts w:ascii="Arial" w:hAnsi="Arial"/>
                <w:b/>
                <w:color w:val="FFFFFF"/>
                <w:sz w:val="16"/>
              </w:rPr>
              <w:t>Requirement</w:t>
            </w:r>
          </w:p>
        </w:tc>
      </w:tr>
      <w:tr>
        <w:trPr>
          <w:cantSplit/>
        </w:trPr>
        <w:tc>
          <w:tcPr>
            <w:tcW w:type="dxa" w:w="792"/>
            <w:tcMar>
              <w:top w:w="65" w:type="dxa"/>
              <w:start w:w="90" w:type="dxa"/>
              <w:bottom w:w="65" w:type="dxa"/>
              <w:end w:w="90" w:type="dxa"/>
            </w:tcMar>
          </w:tcPr>
          <w:p>
            <w:pPr>
              <w:spacing w:after="0"/>
            </w:pPr>
            <w:r>
              <w:rPr>
                <w:rFonts w:ascii="Arial" w:hAnsi="Arial"/>
                <w:sz w:val="14"/>
              </w:rPr>
              <w:t>FR-01</w:t>
            </w:r>
          </w:p>
        </w:tc>
        <w:tc>
          <w:tcPr>
            <w:tcW w:type="dxa" w:w="720"/>
            <w:tcMar>
              <w:top w:w="65" w:type="dxa"/>
              <w:start w:w="90" w:type="dxa"/>
              <w:bottom w:w="65" w:type="dxa"/>
              <w:end w:w="90" w:type="dxa"/>
            </w:tcMar>
          </w:tcPr>
          <w:p>
            <w:pPr>
              <w:spacing w:after="0"/>
            </w:pPr>
            <w:r>
              <w:rPr>
                <w:rFonts w:ascii="Arial" w:hAnsi="Arial"/>
                <w:sz w:val="14"/>
              </w:rPr>
              <w:t>P0</w:t>
            </w:r>
          </w:p>
        </w:tc>
        <w:tc>
          <w:tcPr>
            <w:tcW w:type="dxa" w:w="2520"/>
            <w:tcMar>
              <w:top w:w="65" w:type="dxa"/>
              <w:start w:w="90" w:type="dxa"/>
              <w:bottom w:w="65" w:type="dxa"/>
              <w:end w:w="90" w:type="dxa"/>
            </w:tcMar>
          </w:tcPr>
          <w:p>
            <w:pPr>
              <w:spacing w:after="0"/>
            </w:pPr>
            <w:r>
              <w:rPr>
                <w:rFonts w:ascii="Arial" w:hAnsi="Arial"/>
                <w:sz w:val="14"/>
              </w:rPr>
              <w:t>Trusted data loading</w:t>
            </w:r>
          </w:p>
        </w:tc>
        <w:tc>
          <w:tcPr>
            <w:tcW w:type="dxa" w:w="6336"/>
            <w:tcMar>
              <w:top w:w="65" w:type="dxa"/>
              <w:start w:w="90" w:type="dxa"/>
              <w:bottom w:w="65" w:type="dxa"/>
              <w:end w:w="90" w:type="dxa"/>
            </w:tcMar>
          </w:tcPr>
          <w:p>
            <w:pPr>
              <w:spacing w:after="0"/>
            </w:pPr>
            <w:r>
              <w:rPr>
                <w:rFonts w:ascii="Arial" w:hAnsi="Arial"/>
                <w:sz w:val="14"/>
              </w:rPr>
              <w:t>Load the existing trusted GC/MGC Parquet table using project-root-relative paths; validate schema, row counts, dtypes, timestamps, core OHLCV, and metadata before research.</w:t>
            </w:r>
          </w:p>
        </w:tc>
      </w:tr>
      <w:tr>
        <w:trPr>
          <w:cantSplit/>
        </w:trPr>
        <w:tc>
          <w:tcPr>
            <w:tcW w:type="dxa" w:w="792"/>
            <w:tcMar>
              <w:top w:w="65" w:type="dxa"/>
              <w:start w:w="90" w:type="dxa"/>
              <w:bottom w:w="65" w:type="dxa"/>
              <w:end w:w="90" w:type="dxa"/>
            </w:tcMar>
            <w:shd w:fill="F3F5F7"/>
          </w:tcPr>
          <w:p>
            <w:pPr>
              <w:spacing w:after="0"/>
            </w:pPr>
            <w:r>
              <w:rPr>
                <w:rFonts w:ascii="Arial" w:hAnsi="Arial"/>
                <w:sz w:val="14"/>
              </w:rPr>
              <w:t>FR-02</w:t>
            </w:r>
          </w:p>
        </w:tc>
        <w:tc>
          <w:tcPr>
            <w:tcW w:type="dxa" w:w="720"/>
            <w:tcMar>
              <w:top w:w="65" w:type="dxa"/>
              <w:start w:w="90" w:type="dxa"/>
              <w:bottom w:w="65" w:type="dxa"/>
              <w:end w:w="90" w:type="dxa"/>
            </w:tcMar>
            <w:shd w:fill="F3F5F7"/>
          </w:tcPr>
          <w:p>
            <w:pPr>
              <w:spacing w:after="0"/>
            </w:pPr>
            <w:r>
              <w:rPr>
                <w:rFonts w:ascii="Arial" w:hAnsi="Arial"/>
                <w:sz w:val="14"/>
              </w:rPr>
              <w:t>P0</w:t>
            </w:r>
          </w:p>
        </w:tc>
        <w:tc>
          <w:tcPr>
            <w:tcW w:type="dxa" w:w="2520"/>
            <w:tcMar>
              <w:top w:w="65" w:type="dxa"/>
              <w:start w:w="90" w:type="dxa"/>
              <w:bottom w:w="65" w:type="dxa"/>
              <w:end w:w="90" w:type="dxa"/>
            </w:tcMar>
            <w:shd w:fill="F3F5F7"/>
          </w:tcPr>
          <w:p>
            <w:pPr>
              <w:spacing w:after="0"/>
            </w:pPr>
            <w:r>
              <w:rPr>
                <w:rFonts w:ascii="Arial" w:hAnsi="Arial"/>
                <w:sz w:val="14"/>
              </w:rPr>
              <w:t>Active-contract and rollover integrity</w:t>
            </w:r>
          </w:p>
        </w:tc>
        <w:tc>
          <w:tcPr>
            <w:tcW w:type="dxa" w:w="6336"/>
            <w:tcMar>
              <w:top w:w="65" w:type="dxa"/>
              <w:start w:w="90" w:type="dxa"/>
              <w:bottom w:w="65" w:type="dxa"/>
              <w:end w:w="90" w:type="dxa"/>
            </w:tcMar>
            <w:shd w:fill="F3F5F7"/>
          </w:tcPr>
          <w:p>
            <w:pPr>
              <w:spacing w:after="0"/>
            </w:pPr>
            <w:r>
              <w:rPr>
                <w:rFonts w:ascii="Arial" w:hAnsi="Arial"/>
                <w:sz w:val="14"/>
              </w:rPr>
              <w:t>Preserve the liquidity-selected contract schedule; prevent feature windows, labels, and trades from crossing invalid contract, segment, rollover, or missing-bar boundaries.</w:t>
            </w:r>
          </w:p>
        </w:tc>
      </w:tr>
      <w:tr>
        <w:trPr>
          <w:cantSplit/>
        </w:trPr>
        <w:tc>
          <w:tcPr>
            <w:tcW w:type="dxa" w:w="792"/>
            <w:tcMar>
              <w:top w:w="65" w:type="dxa"/>
              <w:start w:w="90" w:type="dxa"/>
              <w:bottom w:w="65" w:type="dxa"/>
              <w:end w:w="90" w:type="dxa"/>
            </w:tcMar>
          </w:tcPr>
          <w:p>
            <w:pPr>
              <w:spacing w:after="0"/>
            </w:pPr>
            <w:r>
              <w:rPr>
                <w:rFonts w:ascii="Arial" w:hAnsi="Arial"/>
                <w:sz w:val="14"/>
              </w:rPr>
              <w:t>FR-03</w:t>
            </w:r>
          </w:p>
        </w:tc>
        <w:tc>
          <w:tcPr>
            <w:tcW w:type="dxa" w:w="720"/>
            <w:tcMar>
              <w:top w:w="65" w:type="dxa"/>
              <w:start w:w="90" w:type="dxa"/>
              <w:bottom w:w="65" w:type="dxa"/>
              <w:end w:w="90" w:type="dxa"/>
            </w:tcMar>
          </w:tcPr>
          <w:p>
            <w:pPr>
              <w:spacing w:after="0"/>
            </w:pPr>
            <w:r>
              <w:rPr>
                <w:rFonts w:ascii="Arial" w:hAnsi="Arial"/>
                <w:sz w:val="14"/>
              </w:rPr>
              <w:t>P0</w:t>
            </w:r>
          </w:p>
        </w:tc>
        <w:tc>
          <w:tcPr>
            <w:tcW w:type="dxa" w:w="2520"/>
            <w:tcMar>
              <w:top w:w="65" w:type="dxa"/>
              <w:start w:w="90" w:type="dxa"/>
              <w:bottom w:w="65" w:type="dxa"/>
              <w:end w:w="90" w:type="dxa"/>
            </w:tcMar>
          </w:tcPr>
          <w:p>
            <w:pPr>
              <w:spacing w:after="0"/>
            </w:pPr>
            <w:r>
              <w:rPr>
                <w:rFonts w:ascii="Arial" w:hAnsi="Arial"/>
                <w:sz w:val="14"/>
              </w:rPr>
              <w:t>Causal multi-timeframe features</w:t>
            </w:r>
          </w:p>
        </w:tc>
        <w:tc>
          <w:tcPr>
            <w:tcW w:type="dxa" w:w="6336"/>
            <w:tcMar>
              <w:top w:w="65" w:type="dxa"/>
              <w:start w:w="90" w:type="dxa"/>
              <w:bottom w:w="65" w:type="dxa"/>
              <w:end w:w="90" w:type="dxa"/>
            </w:tcMar>
          </w:tcPr>
          <w:p>
            <w:pPr>
              <w:spacing w:after="0"/>
            </w:pPr>
            <w:r>
              <w:rPr>
                <w:rFonts w:ascii="Arial" w:hAnsi="Arial"/>
                <w:sz w:val="14"/>
              </w:rPr>
              <w:t>Generate one-minute and completed higher-timeframe features with explicit information-availability timestamps and no centered windows, future filling, or incomplete-candle leakage.</w:t>
            </w:r>
          </w:p>
        </w:tc>
      </w:tr>
      <w:tr>
        <w:trPr>
          <w:cantSplit/>
        </w:trPr>
        <w:tc>
          <w:tcPr>
            <w:tcW w:type="dxa" w:w="792"/>
            <w:tcMar>
              <w:top w:w="65" w:type="dxa"/>
              <w:start w:w="90" w:type="dxa"/>
              <w:bottom w:w="65" w:type="dxa"/>
              <w:end w:w="90" w:type="dxa"/>
            </w:tcMar>
            <w:shd w:fill="F3F5F7"/>
          </w:tcPr>
          <w:p>
            <w:pPr>
              <w:spacing w:after="0"/>
            </w:pPr>
            <w:r>
              <w:rPr>
                <w:rFonts w:ascii="Arial" w:hAnsi="Arial"/>
                <w:sz w:val="14"/>
              </w:rPr>
              <w:t>FR-04</w:t>
            </w:r>
          </w:p>
        </w:tc>
        <w:tc>
          <w:tcPr>
            <w:tcW w:type="dxa" w:w="720"/>
            <w:tcMar>
              <w:top w:w="65" w:type="dxa"/>
              <w:start w:w="90" w:type="dxa"/>
              <w:bottom w:w="65" w:type="dxa"/>
              <w:end w:w="90" w:type="dxa"/>
            </w:tcMar>
            <w:shd w:fill="F3F5F7"/>
          </w:tcPr>
          <w:p>
            <w:pPr>
              <w:spacing w:after="0"/>
            </w:pPr>
            <w:r>
              <w:rPr>
                <w:rFonts w:ascii="Arial" w:hAnsi="Arial"/>
                <w:sz w:val="14"/>
              </w:rPr>
              <w:t>P0</w:t>
            </w:r>
          </w:p>
        </w:tc>
        <w:tc>
          <w:tcPr>
            <w:tcW w:type="dxa" w:w="2520"/>
            <w:tcMar>
              <w:top w:w="65" w:type="dxa"/>
              <w:start w:w="90" w:type="dxa"/>
              <w:bottom w:w="65" w:type="dxa"/>
              <w:end w:w="90" w:type="dxa"/>
            </w:tcMar>
            <w:shd w:fill="F3F5F7"/>
          </w:tcPr>
          <w:p>
            <w:pPr>
              <w:spacing w:after="0"/>
            </w:pPr>
            <w:r>
              <w:rPr>
                <w:rFonts w:ascii="Arial" w:hAnsi="Arial"/>
                <w:sz w:val="14"/>
              </w:rPr>
              <w:t>POI research branch</w:t>
            </w:r>
          </w:p>
        </w:tc>
        <w:tc>
          <w:tcPr>
            <w:tcW w:type="dxa" w:w="6336"/>
            <w:tcMar>
              <w:top w:w="65" w:type="dxa"/>
              <w:start w:w="90" w:type="dxa"/>
              <w:bottom w:w="65" w:type="dxa"/>
              <w:end w:w="90" w:type="dxa"/>
            </w:tcMar>
            <w:shd w:fill="F3F5F7"/>
          </w:tcPr>
          <w:p>
            <w:pPr>
              <w:spacing w:after="0"/>
            </w:pPr>
            <w:r>
              <w:rPr>
                <w:rFonts w:ascii="Arial" w:hAnsi="Arial"/>
                <w:sz w:val="14"/>
              </w:rPr>
              <w:t>Maintain the frozen refined True POI definitions, retest identities, context features, controls, and first-passage outputs. Changes require a new version rather than silent replacement.</w:t>
            </w:r>
          </w:p>
        </w:tc>
      </w:tr>
      <w:tr>
        <w:trPr>
          <w:cantSplit/>
        </w:trPr>
        <w:tc>
          <w:tcPr>
            <w:tcW w:type="dxa" w:w="792"/>
            <w:tcMar>
              <w:top w:w="65" w:type="dxa"/>
              <w:start w:w="90" w:type="dxa"/>
              <w:bottom w:w="65" w:type="dxa"/>
              <w:end w:w="90" w:type="dxa"/>
            </w:tcMar>
          </w:tcPr>
          <w:p>
            <w:pPr>
              <w:spacing w:after="0"/>
            </w:pPr>
            <w:r>
              <w:rPr>
                <w:rFonts w:ascii="Arial" w:hAnsi="Arial"/>
                <w:sz w:val="14"/>
              </w:rPr>
              <w:t>FR-05</w:t>
            </w:r>
          </w:p>
        </w:tc>
        <w:tc>
          <w:tcPr>
            <w:tcW w:type="dxa" w:w="720"/>
            <w:tcMar>
              <w:top w:w="65" w:type="dxa"/>
              <w:start w:w="90" w:type="dxa"/>
              <w:bottom w:w="65" w:type="dxa"/>
              <w:end w:w="90" w:type="dxa"/>
            </w:tcMar>
          </w:tcPr>
          <w:p>
            <w:pPr>
              <w:spacing w:after="0"/>
            </w:pPr>
            <w:r>
              <w:rPr>
                <w:rFonts w:ascii="Arial" w:hAnsi="Arial"/>
                <w:sz w:val="14"/>
              </w:rPr>
              <w:t>P0</w:t>
            </w:r>
          </w:p>
        </w:tc>
        <w:tc>
          <w:tcPr>
            <w:tcW w:type="dxa" w:w="2520"/>
            <w:tcMar>
              <w:top w:w="65" w:type="dxa"/>
              <w:start w:w="90" w:type="dxa"/>
              <w:bottom w:w="65" w:type="dxa"/>
              <w:end w:w="90" w:type="dxa"/>
            </w:tcMar>
          </w:tcPr>
          <w:p>
            <w:pPr>
              <w:spacing w:after="0"/>
            </w:pPr>
            <w:r>
              <w:rPr>
                <w:rFonts w:ascii="Arial" w:hAnsi="Arial"/>
                <w:sz w:val="14"/>
              </w:rPr>
              <w:t>Independent statistical branch</w:t>
            </w:r>
          </w:p>
        </w:tc>
        <w:tc>
          <w:tcPr>
            <w:tcW w:type="dxa" w:w="6336"/>
            <w:tcMar>
              <w:top w:w="65" w:type="dxa"/>
              <w:start w:w="90" w:type="dxa"/>
              <w:bottom w:w="65" w:type="dxa"/>
              <w:end w:w="90" w:type="dxa"/>
            </w:tcMar>
          </w:tcPr>
          <w:p>
            <w:pPr>
              <w:spacing w:after="0"/>
            </w:pPr>
            <w:r>
              <w:rPr>
                <w:rFonts w:ascii="Arial" w:hAnsi="Arial"/>
                <w:sz w:val="14"/>
              </w:rPr>
              <w:t>Evaluate the registered predictors independently of POI information using chronological splits, development-fitted thresholds, multiple-testing controls, and stability analysis.</w:t>
            </w:r>
          </w:p>
        </w:tc>
      </w:tr>
      <w:tr>
        <w:trPr>
          <w:cantSplit/>
        </w:trPr>
        <w:tc>
          <w:tcPr>
            <w:tcW w:type="dxa" w:w="792"/>
            <w:tcMar>
              <w:top w:w="65" w:type="dxa"/>
              <w:start w:w="90" w:type="dxa"/>
              <w:bottom w:w="65" w:type="dxa"/>
              <w:end w:w="90" w:type="dxa"/>
            </w:tcMar>
            <w:shd w:fill="F3F5F7"/>
          </w:tcPr>
          <w:p>
            <w:pPr>
              <w:spacing w:after="0"/>
            </w:pPr>
            <w:r>
              <w:rPr>
                <w:rFonts w:ascii="Arial" w:hAnsi="Arial"/>
                <w:sz w:val="14"/>
              </w:rPr>
              <w:t>FR-06</w:t>
            </w:r>
          </w:p>
        </w:tc>
        <w:tc>
          <w:tcPr>
            <w:tcW w:type="dxa" w:w="720"/>
            <w:tcMar>
              <w:top w:w="65" w:type="dxa"/>
              <w:start w:w="90" w:type="dxa"/>
              <w:bottom w:w="65" w:type="dxa"/>
              <w:end w:w="90" w:type="dxa"/>
            </w:tcMar>
            <w:shd w:fill="F3F5F7"/>
          </w:tcPr>
          <w:p>
            <w:pPr>
              <w:spacing w:after="0"/>
            </w:pPr>
            <w:r>
              <w:rPr>
                <w:rFonts w:ascii="Arial" w:hAnsi="Arial"/>
                <w:sz w:val="14"/>
              </w:rPr>
              <w:t>P0</w:t>
            </w:r>
          </w:p>
        </w:tc>
        <w:tc>
          <w:tcPr>
            <w:tcW w:type="dxa" w:w="2520"/>
            <w:tcMar>
              <w:top w:w="65" w:type="dxa"/>
              <w:start w:w="90" w:type="dxa"/>
              <w:bottom w:w="65" w:type="dxa"/>
              <w:end w:w="90" w:type="dxa"/>
            </w:tcMar>
            <w:shd w:fill="F3F5F7"/>
          </w:tcPr>
          <w:p>
            <w:pPr>
              <w:spacing w:after="0"/>
            </w:pPr>
            <w:r>
              <w:rPr>
                <w:rFonts w:ascii="Arial" w:hAnsi="Arial"/>
                <w:sz w:val="14"/>
              </w:rPr>
              <w:t>Signal specification</w:t>
            </w:r>
          </w:p>
        </w:tc>
        <w:tc>
          <w:tcPr>
            <w:tcW w:type="dxa" w:w="6336"/>
            <w:tcMar>
              <w:top w:w="65" w:type="dxa"/>
              <w:start w:w="90" w:type="dxa"/>
              <w:bottom w:w="65" w:type="dxa"/>
              <w:end w:w="90" w:type="dxa"/>
            </w:tcMar>
            <w:shd w:fill="F3F5F7"/>
          </w:tcPr>
          <w:p>
            <w:pPr>
              <w:spacing w:after="0"/>
            </w:pPr>
            <w:r>
              <w:rPr>
                <w:rFonts w:ascii="Arial" w:hAnsi="Arial"/>
                <w:sz w:val="14"/>
              </w:rPr>
              <w:t>Represent each candidate strategy as a versioned machine-readable specification covering inputs, direction, filters, no-trade states, entry timing, stop, target, holding time, conflict rules, and sizing.</w:t>
            </w:r>
          </w:p>
        </w:tc>
      </w:tr>
      <w:tr>
        <w:trPr>
          <w:cantSplit/>
        </w:trPr>
        <w:tc>
          <w:tcPr>
            <w:tcW w:type="dxa" w:w="792"/>
            <w:tcMar>
              <w:top w:w="65" w:type="dxa"/>
              <w:start w:w="90" w:type="dxa"/>
              <w:bottom w:w="65" w:type="dxa"/>
              <w:end w:w="90" w:type="dxa"/>
            </w:tcMar>
          </w:tcPr>
          <w:p>
            <w:pPr>
              <w:spacing w:after="0"/>
            </w:pPr>
            <w:r>
              <w:rPr>
                <w:rFonts w:ascii="Arial" w:hAnsi="Arial"/>
                <w:sz w:val="14"/>
              </w:rPr>
              <w:t>FR-07</w:t>
            </w:r>
          </w:p>
        </w:tc>
        <w:tc>
          <w:tcPr>
            <w:tcW w:type="dxa" w:w="720"/>
            <w:tcMar>
              <w:top w:w="65" w:type="dxa"/>
              <w:start w:w="90" w:type="dxa"/>
              <w:bottom w:w="65" w:type="dxa"/>
              <w:end w:w="90" w:type="dxa"/>
            </w:tcMar>
          </w:tcPr>
          <w:p>
            <w:pPr>
              <w:spacing w:after="0"/>
            </w:pPr>
            <w:r>
              <w:rPr>
                <w:rFonts w:ascii="Arial" w:hAnsi="Arial"/>
                <w:sz w:val="14"/>
              </w:rPr>
              <w:t>P0</w:t>
            </w:r>
          </w:p>
        </w:tc>
        <w:tc>
          <w:tcPr>
            <w:tcW w:type="dxa" w:w="2520"/>
            <w:tcMar>
              <w:top w:w="65" w:type="dxa"/>
              <w:start w:w="90" w:type="dxa"/>
              <w:bottom w:w="65" w:type="dxa"/>
              <w:end w:w="90" w:type="dxa"/>
            </w:tcMar>
          </w:tcPr>
          <w:p>
            <w:pPr>
              <w:spacing w:after="0"/>
            </w:pPr>
            <w:r>
              <w:rPr>
                <w:rFonts w:ascii="Arial" w:hAnsi="Arial"/>
                <w:sz w:val="14"/>
              </w:rPr>
              <w:t>Sequential backtest</w:t>
            </w:r>
          </w:p>
        </w:tc>
        <w:tc>
          <w:tcPr>
            <w:tcW w:type="dxa" w:w="6336"/>
            <w:tcMar>
              <w:top w:w="65" w:type="dxa"/>
              <w:start w:w="90" w:type="dxa"/>
              <w:bottom w:w="65" w:type="dxa"/>
              <w:end w:w="90" w:type="dxa"/>
            </w:tcMar>
          </w:tcPr>
          <w:p>
            <w:pPr>
              <w:spacing w:after="0"/>
            </w:pPr>
            <w:r>
              <w:rPr>
                <w:rFonts w:ascii="Arial" w:hAnsi="Arial"/>
                <w:sz w:val="14"/>
              </w:rPr>
              <w:t>Simulate chronological account state, order state, positions, overlapping signals, fills, exits, P&amp;L, daily resets, rollover, forced exits, and capital constraints.</w:t>
            </w:r>
          </w:p>
        </w:tc>
      </w:tr>
      <w:tr>
        <w:trPr>
          <w:cantSplit/>
        </w:trPr>
        <w:tc>
          <w:tcPr>
            <w:tcW w:type="dxa" w:w="792"/>
            <w:tcMar>
              <w:top w:w="65" w:type="dxa"/>
              <w:start w:w="90" w:type="dxa"/>
              <w:bottom w:w="65" w:type="dxa"/>
              <w:end w:w="90" w:type="dxa"/>
            </w:tcMar>
            <w:shd w:fill="F3F5F7"/>
          </w:tcPr>
          <w:p>
            <w:pPr>
              <w:spacing w:after="0"/>
            </w:pPr>
            <w:r>
              <w:rPr>
                <w:rFonts w:ascii="Arial" w:hAnsi="Arial"/>
                <w:sz w:val="14"/>
              </w:rPr>
              <w:t>FR-08</w:t>
            </w:r>
          </w:p>
        </w:tc>
        <w:tc>
          <w:tcPr>
            <w:tcW w:type="dxa" w:w="720"/>
            <w:tcMar>
              <w:top w:w="65" w:type="dxa"/>
              <w:start w:w="90" w:type="dxa"/>
              <w:bottom w:w="65" w:type="dxa"/>
              <w:end w:w="90" w:type="dxa"/>
            </w:tcMar>
            <w:shd w:fill="F3F5F7"/>
          </w:tcPr>
          <w:p>
            <w:pPr>
              <w:spacing w:after="0"/>
            </w:pPr>
            <w:r>
              <w:rPr>
                <w:rFonts w:ascii="Arial" w:hAnsi="Arial"/>
                <w:sz w:val="14"/>
              </w:rPr>
              <w:t>P0</w:t>
            </w:r>
          </w:p>
        </w:tc>
        <w:tc>
          <w:tcPr>
            <w:tcW w:type="dxa" w:w="2520"/>
            <w:tcMar>
              <w:top w:w="65" w:type="dxa"/>
              <w:start w:w="90" w:type="dxa"/>
              <w:bottom w:w="65" w:type="dxa"/>
              <w:end w:w="90" w:type="dxa"/>
            </w:tcMar>
            <w:shd w:fill="F3F5F7"/>
          </w:tcPr>
          <w:p>
            <w:pPr>
              <w:spacing w:after="0"/>
            </w:pPr>
            <w:r>
              <w:rPr>
                <w:rFonts w:ascii="Arial" w:hAnsi="Arial"/>
                <w:sz w:val="14"/>
              </w:rPr>
              <w:t>Execution-cost model</w:t>
            </w:r>
          </w:p>
        </w:tc>
        <w:tc>
          <w:tcPr>
            <w:tcW w:type="dxa" w:w="6336"/>
            <w:tcMar>
              <w:top w:w="65" w:type="dxa"/>
              <w:start w:w="90" w:type="dxa"/>
              <w:bottom w:w="65" w:type="dxa"/>
              <w:end w:w="90" w:type="dxa"/>
            </w:tcMar>
            <w:shd w:fill="F3F5F7"/>
          </w:tcPr>
          <w:p>
            <w:pPr>
              <w:spacing w:after="0"/>
            </w:pPr>
            <w:r>
              <w:rPr>
                <w:rFonts w:ascii="Arial" w:hAnsi="Arial"/>
                <w:sz w:val="14"/>
              </w:rPr>
              <w:t>Model commissions, exchange/clearing fees, bid/ask spread, slippage, adverse fill scenarios, and configurable latency. Results must be reported under base and pessimistic assumptions.</w:t>
            </w:r>
          </w:p>
        </w:tc>
      </w:tr>
      <w:tr>
        <w:trPr>
          <w:cantSplit/>
        </w:trPr>
        <w:tc>
          <w:tcPr>
            <w:tcW w:type="dxa" w:w="792"/>
            <w:tcMar>
              <w:top w:w="65" w:type="dxa"/>
              <w:start w:w="90" w:type="dxa"/>
              <w:bottom w:w="65" w:type="dxa"/>
              <w:end w:w="90" w:type="dxa"/>
            </w:tcMar>
          </w:tcPr>
          <w:p>
            <w:pPr>
              <w:spacing w:after="0"/>
            </w:pPr>
            <w:r>
              <w:rPr>
                <w:rFonts w:ascii="Arial" w:hAnsi="Arial"/>
                <w:sz w:val="14"/>
              </w:rPr>
              <w:t>FR-09</w:t>
            </w:r>
          </w:p>
        </w:tc>
        <w:tc>
          <w:tcPr>
            <w:tcW w:type="dxa" w:w="720"/>
            <w:tcMar>
              <w:top w:w="65" w:type="dxa"/>
              <w:start w:w="90" w:type="dxa"/>
              <w:bottom w:w="65" w:type="dxa"/>
              <w:end w:w="90" w:type="dxa"/>
            </w:tcMar>
          </w:tcPr>
          <w:p>
            <w:pPr>
              <w:spacing w:after="0"/>
            </w:pPr>
            <w:r>
              <w:rPr>
                <w:rFonts w:ascii="Arial" w:hAnsi="Arial"/>
                <w:sz w:val="14"/>
              </w:rPr>
              <w:t>P0</w:t>
            </w:r>
          </w:p>
        </w:tc>
        <w:tc>
          <w:tcPr>
            <w:tcW w:type="dxa" w:w="2520"/>
            <w:tcMar>
              <w:top w:w="65" w:type="dxa"/>
              <w:start w:w="90" w:type="dxa"/>
              <w:bottom w:w="65" w:type="dxa"/>
              <w:end w:w="90" w:type="dxa"/>
            </w:tcMar>
          </w:tcPr>
          <w:p>
            <w:pPr>
              <w:spacing w:after="0"/>
            </w:pPr>
            <w:r>
              <w:rPr>
                <w:rFonts w:ascii="Arial" w:hAnsi="Arial"/>
                <w:sz w:val="14"/>
              </w:rPr>
              <w:t>GC-to-MGC transfer validation</w:t>
            </w:r>
          </w:p>
        </w:tc>
        <w:tc>
          <w:tcPr>
            <w:tcW w:type="dxa" w:w="6336"/>
            <w:tcMar>
              <w:top w:w="65" w:type="dxa"/>
              <w:start w:w="90" w:type="dxa"/>
              <w:bottom w:w="65" w:type="dxa"/>
              <w:end w:w="90" w:type="dxa"/>
            </w:tcMar>
          </w:tcPr>
          <w:p>
            <w:pPr>
              <w:spacing w:after="0"/>
            </w:pPr>
            <w:r>
              <w:rPr>
                <w:rFonts w:ascii="Arial" w:hAnsi="Arial"/>
                <w:sz w:val="14"/>
              </w:rPr>
              <w:t>Compare synchronized GC signals and MGC executable prices; quantify basis, tracking difference, spread, liquidity, slippage, and cases where the mapped trade is unavailable or materially different.</w:t>
            </w:r>
          </w:p>
        </w:tc>
      </w:tr>
      <w:tr>
        <w:trPr>
          <w:cantSplit/>
        </w:trPr>
        <w:tc>
          <w:tcPr>
            <w:tcW w:type="dxa" w:w="792"/>
            <w:tcMar>
              <w:top w:w="65" w:type="dxa"/>
              <w:start w:w="90" w:type="dxa"/>
              <w:bottom w:w="65" w:type="dxa"/>
              <w:end w:w="90" w:type="dxa"/>
            </w:tcMar>
            <w:shd w:fill="F3F5F7"/>
          </w:tcPr>
          <w:p>
            <w:pPr>
              <w:spacing w:after="0"/>
            </w:pPr>
            <w:r>
              <w:rPr>
                <w:rFonts w:ascii="Arial" w:hAnsi="Arial"/>
                <w:sz w:val="14"/>
              </w:rPr>
              <w:t>FR-10</w:t>
            </w:r>
          </w:p>
        </w:tc>
        <w:tc>
          <w:tcPr>
            <w:tcW w:type="dxa" w:w="720"/>
            <w:tcMar>
              <w:top w:w="65" w:type="dxa"/>
              <w:start w:w="90" w:type="dxa"/>
              <w:bottom w:w="65" w:type="dxa"/>
              <w:end w:w="90" w:type="dxa"/>
            </w:tcMar>
            <w:shd w:fill="F3F5F7"/>
          </w:tcPr>
          <w:p>
            <w:pPr>
              <w:spacing w:after="0"/>
            </w:pPr>
            <w:r>
              <w:rPr>
                <w:rFonts w:ascii="Arial" w:hAnsi="Arial"/>
                <w:sz w:val="14"/>
              </w:rPr>
              <w:t>P0</w:t>
            </w:r>
          </w:p>
        </w:tc>
        <w:tc>
          <w:tcPr>
            <w:tcW w:type="dxa" w:w="2520"/>
            <w:tcMar>
              <w:top w:w="65" w:type="dxa"/>
              <w:start w:w="90" w:type="dxa"/>
              <w:bottom w:w="65" w:type="dxa"/>
              <w:end w:w="90" w:type="dxa"/>
            </w:tcMar>
            <w:shd w:fill="F3F5F7"/>
          </w:tcPr>
          <w:p>
            <w:pPr>
              <w:spacing w:after="0"/>
            </w:pPr>
            <w:r>
              <w:rPr>
                <w:rFonts w:ascii="Arial" w:hAnsi="Arial"/>
                <w:sz w:val="14"/>
              </w:rPr>
              <w:t>Prop-firm rules engine</w:t>
            </w:r>
          </w:p>
        </w:tc>
        <w:tc>
          <w:tcPr>
            <w:tcW w:type="dxa" w:w="6336"/>
            <w:tcMar>
              <w:top w:w="65" w:type="dxa"/>
              <w:start w:w="90" w:type="dxa"/>
              <w:bottom w:w="65" w:type="dxa"/>
              <w:end w:w="90" w:type="dxa"/>
            </w:tcMar>
            <w:shd w:fill="F3F5F7"/>
          </w:tcPr>
          <w:p>
            <w:pPr>
              <w:spacing w:after="0"/>
            </w:pPr>
            <w:r>
              <w:rPr>
                <w:rFonts w:ascii="Arial" w:hAnsi="Arial"/>
                <w:sz w:val="14"/>
              </w:rPr>
              <w:t>Represent profit target, daily loss, static/trailing drawdown, consistency, minimum days, maximum contracts, news restrictions, prohibited behaviour, payout/scaling rules, and effective dates as configurable policies.</w:t>
            </w:r>
          </w:p>
        </w:tc>
      </w:tr>
      <w:tr>
        <w:trPr>
          <w:cantSplit/>
        </w:trPr>
        <w:tc>
          <w:tcPr>
            <w:tcW w:type="dxa" w:w="792"/>
            <w:tcMar>
              <w:top w:w="65" w:type="dxa"/>
              <w:start w:w="90" w:type="dxa"/>
              <w:bottom w:w="65" w:type="dxa"/>
              <w:end w:w="90" w:type="dxa"/>
            </w:tcMar>
          </w:tcPr>
          <w:p>
            <w:pPr>
              <w:spacing w:after="0"/>
            </w:pPr>
            <w:r>
              <w:rPr>
                <w:rFonts w:ascii="Arial" w:hAnsi="Arial"/>
                <w:sz w:val="14"/>
              </w:rPr>
              <w:t>FR-11</w:t>
            </w:r>
          </w:p>
        </w:tc>
        <w:tc>
          <w:tcPr>
            <w:tcW w:type="dxa" w:w="720"/>
            <w:tcMar>
              <w:top w:w="65" w:type="dxa"/>
              <w:start w:w="90" w:type="dxa"/>
              <w:bottom w:w="65" w:type="dxa"/>
              <w:end w:w="90" w:type="dxa"/>
            </w:tcMar>
          </w:tcPr>
          <w:p>
            <w:pPr>
              <w:spacing w:after="0"/>
            </w:pPr>
            <w:r>
              <w:rPr>
                <w:rFonts w:ascii="Arial" w:hAnsi="Arial"/>
                <w:sz w:val="14"/>
              </w:rPr>
              <w:t>P0</w:t>
            </w:r>
          </w:p>
        </w:tc>
        <w:tc>
          <w:tcPr>
            <w:tcW w:type="dxa" w:w="2520"/>
            <w:tcMar>
              <w:top w:w="65" w:type="dxa"/>
              <w:start w:w="90" w:type="dxa"/>
              <w:bottom w:w="65" w:type="dxa"/>
              <w:end w:w="90" w:type="dxa"/>
            </w:tcMar>
          </w:tcPr>
          <w:p>
            <w:pPr>
              <w:spacing w:after="0"/>
            </w:pPr>
            <w:r>
              <w:rPr>
                <w:rFonts w:ascii="Arial" w:hAnsi="Arial"/>
                <w:sz w:val="14"/>
              </w:rPr>
              <w:t>Rithmic paper integration</w:t>
            </w:r>
          </w:p>
        </w:tc>
        <w:tc>
          <w:tcPr>
            <w:tcW w:type="dxa" w:w="6336"/>
            <w:tcMar>
              <w:top w:w="65" w:type="dxa"/>
              <w:start w:w="90" w:type="dxa"/>
              <w:bottom w:w="65" w:type="dxa"/>
              <w:end w:w="90" w:type="dxa"/>
            </w:tcMar>
          </w:tcPr>
          <w:p>
            <w:pPr>
              <w:spacing w:after="0"/>
            </w:pPr>
            <w:r>
              <w:rPr>
                <w:rFonts w:ascii="Arial" w:hAnsi="Arial"/>
                <w:sz w:val="14"/>
              </w:rPr>
              <w:t>Consume live exchange data through an approved Rithmic path, submit simulated orders, receive acknowledgements/fills, reconcile positions, and record complete decision-to-fill telemetry.</w:t>
            </w:r>
          </w:p>
        </w:tc>
      </w:tr>
      <w:tr>
        <w:trPr>
          <w:cantSplit/>
        </w:trPr>
        <w:tc>
          <w:tcPr>
            <w:tcW w:type="dxa" w:w="792"/>
            <w:tcMar>
              <w:top w:w="65" w:type="dxa"/>
              <w:start w:w="90" w:type="dxa"/>
              <w:bottom w:w="65" w:type="dxa"/>
              <w:end w:w="90" w:type="dxa"/>
            </w:tcMar>
            <w:shd w:fill="F3F5F7"/>
          </w:tcPr>
          <w:p>
            <w:pPr>
              <w:spacing w:after="0"/>
            </w:pPr>
            <w:r>
              <w:rPr>
                <w:rFonts w:ascii="Arial" w:hAnsi="Arial"/>
                <w:sz w:val="14"/>
              </w:rPr>
              <w:t>FR-12</w:t>
            </w:r>
          </w:p>
        </w:tc>
        <w:tc>
          <w:tcPr>
            <w:tcW w:type="dxa" w:w="720"/>
            <w:tcMar>
              <w:top w:w="65" w:type="dxa"/>
              <w:start w:w="90" w:type="dxa"/>
              <w:bottom w:w="65" w:type="dxa"/>
              <w:end w:w="90" w:type="dxa"/>
            </w:tcMar>
            <w:shd w:fill="F3F5F7"/>
          </w:tcPr>
          <w:p>
            <w:pPr>
              <w:spacing w:after="0"/>
            </w:pPr>
            <w:r>
              <w:rPr>
                <w:rFonts w:ascii="Arial" w:hAnsi="Arial"/>
                <w:sz w:val="14"/>
              </w:rPr>
              <w:t>P0</w:t>
            </w:r>
          </w:p>
        </w:tc>
        <w:tc>
          <w:tcPr>
            <w:tcW w:type="dxa" w:w="2520"/>
            <w:tcMar>
              <w:top w:w="65" w:type="dxa"/>
              <w:start w:w="90" w:type="dxa"/>
              <w:bottom w:w="65" w:type="dxa"/>
              <w:end w:w="90" w:type="dxa"/>
            </w:tcMar>
            <w:shd w:fill="F3F5F7"/>
          </w:tcPr>
          <w:p>
            <w:pPr>
              <w:spacing w:after="0"/>
            </w:pPr>
            <w:r>
              <w:rPr>
                <w:rFonts w:ascii="Arial" w:hAnsi="Arial"/>
                <w:sz w:val="14"/>
              </w:rPr>
              <w:t>Independent risk engine</w:t>
            </w:r>
          </w:p>
        </w:tc>
        <w:tc>
          <w:tcPr>
            <w:tcW w:type="dxa" w:w="6336"/>
            <w:tcMar>
              <w:top w:w="65" w:type="dxa"/>
              <w:start w:w="90" w:type="dxa"/>
              <w:bottom w:w="65" w:type="dxa"/>
              <w:end w:w="90" w:type="dxa"/>
            </w:tcMar>
            <w:shd w:fill="F3F5F7"/>
          </w:tcPr>
          <w:p>
            <w:pPr>
              <w:spacing w:after="0"/>
            </w:pPr>
            <w:r>
              <w:rPr>
                <w:rFonts w:ascii="Arial" w:hAnsi="Arial"/>
                <w:sz w:val="14"/>
              </w:rPr>
              <w:t>Enforce max position, per-trade risk, daily stop, max drawdown buffer, consecutive-loss controls, stale-data checks, disconnect handling, order mismatch protection, and manual emergency stop.</w:t>
            </w:r>
          </w:p>
        </w:tc>
      </w:tr>
      <w:tr>
        <w:trPr>
          <w:cantSplit/>
        </w:trPr>
        <w:tc>
          <w:tcPr>
            <w:tcW w:type="dxa" w:w="792"/>
            <w:tcMar>
              <w:top w:w="65" w:type="dxa"/>
              <w:start w:w="90" w:type="dxa"/>
              <w:bottom w:w="65" w:type="dxa"/>
              <w:end w:w="90" w:type="dxa"/>
            </w:tcMar>
          </w:tcPr>
          <w:p>
            <w:pPr>
              <w:spacing w:after="0"/>
            </w:pPr>
            <w:r>
              <w:rPr>
                <w:rFonts w:ascii="Arial" w:hAnsi="Arial"/>
                <w:sz w:val="14"/>
              </w:rPr>
              <w:t>FR-13</w:t>
            </w:r>
          </w:p>
        </w:tc>
        <w:tc>
          <w:tcPr>
            <w:tcW w:type="dxa" w:w="720"/>
            <w:tcMar>
              <w:top w:w="65" w:type="dxa"/>
              <w:start w:w="90" w:type="dxa"/>
              <w:bottom w:w="65" w:type="dxa"/>
              <w:end w:w="90" w:type="dxa"/>
            </w:tcMar>
          </w:tcPr>
          <w:p>
            <w:pPr>
              <w:spacing w:after="0"/>
            </w:pPr>
            <w:r>
              <w:rPr>
                <w:rFonts w:ascii="Arial" w:hAnsi="Arial"/>
                <w:sz w:val="14"/>
              </w:rPr>
              <w:t>P1</w:t>
            </w:r>
          </w:p>
        </w:tc>
        <w:tc>
          <w:tcPr>
            <w:tcW w:type="dxa" w:w="2520"/>
            <w:tcMar>
              <w:top w:w="65" w:type="dxa"/>
              <w:start w:w="90" w:type="dxa"/>
              <w:bottom w:w="65" w:type="dxa"/>
              <w:end w:w="90" w:type="dxa"/>
            </w:tcMar>
          </w:tcPr>
          <w:p>
            <w:pPr>
              <w:spacing w:after="0"/>
            </w:pPr>
            <w:r>
              <w:rPr>
                <w:rFonts w:ascii="Arial" w:hAnsi="Arial"/>
                <w:sz w:val="14"/>
              </w:rPr>
              <w:t>Performance analytics</w:t>
            </w:r>
          </w:p>
        </w:tc>
        <w:tc>
          <w:tcPr>
            <w:tcW w:type="dxa" w:w="6336"/>
            <w:tcMar>
              <w:top w:w="65" w:type="dxa"/>
              <w:start w:w="90" w:type="dxa"/>
              <w:bottom w:w="65" w:type="dxa"/>
              <w:end w:w="90" w:type="dxa"/>
            </w:tcMar>
          </w:tcPr>
          <w:p>
            <w:pPr>
              <w:spacing w:after="0"/>
            </w:pPr>
            <w:r>
              <w:rPr>
                <w:rFonts w:ascii="Arial" w:hAnsi="Arial"/>
                <w:sz w:val="14"/>
              </w:rPr>
              <w:t>Report trade-level and path-level metrics by year, session, regime, direction, strategy version, prop rule set, and execution scenario.</w:t>
            </w:r>
          </w:p>
        </w:tc>
      </w:tr>
      <w:tr>
        <w:trPr>
          <w:cantSplit/>
        </w:trPr>
        <w:tc>
          <w:tcPr>
            <w:tcW w:type="dxa" w:w="792"/>
            <w:tcMar>
              <w:top w:w="65" w:type="dxa"/>
              <w:start w:w="90" w:type="dxa"/>
              <w:bottom w:w="65" w:type="dxa"/>
              <w:end w:w="90" w:type="dxa"/>
            </w:tcMar>
            <w:shd w:fill="F3F5F7"/>
          </w:tcPr>
          <w:p>
            <w:pPr>
              <w:spacing w:after="0"/>
            </w:pPr>
            <w:r>
              <w:rPr>
                <w:rFonts w:ascii="Arial" w:hAnsi="Arial"/>
                <w:sz w:val="14"/>
              </w:rPr>
              <w:t>FR-14</w:t>
            </w:r>
          </w:p>
        </w:tc>
        <w:tc>
          <w:tcPr>
            <w:tcW w:type="dxa" w:w="720"/>
            <w:tcMar>
              <w:top w:w="65" w:type="dxa"/>
              <w:start w:w="90" w:type="dxa"/>
              <w:bottom w:w="65" w:type="dxa"/>
              <w:end w:w="90" w:type="dxa"/>
            </w:tcMar>
            <w:shd w:fill="F3F5F7"/>
          </w:tcPr>
          <w:p>
            <w:pPr>
              <w:spacing w:after="0"/>
            </w:pPr>
            <w:r>
              <w:rPr>
                <w:rFonts w:ascii="Arial" w:hAnsi="Arial"/>
                <w:sz w:val="14"/>
              </w:rPr>
              <w:t>P1</w:t>
            </w:r>
          </w:p>
        </w:tc>
        <w:tc>
          <w:tcPr>
            <w:tcW w:type="dxa" w:w="2520"/>
            <w:tcMar>
              <w:top w:w="65" w:type="dxa"/>
              <w:start w:w="90" w:type="dxa"/>
              <w:bottom w:w="65" w:type="dxa"/>
              <w:end w:w="90" w:type="dxa"/>
            </w:tcMar>
            <w:shd w:fill="F3F5F7"/>
          </w:tcPr>
          <w:p>
            <w:pPr>
              <w:spacing w:after="0"/>
            </w:pPr>
            <w:r>
              <w:rPr>
                <w:rFonts w:ascii="Arial" w:hAnsi="Arial"/>
                <w:sz w:val="14"/>
              </w:rPr>
              <w:t>Experiment registry</w:t>
            </w:r>
          </w:p>
        </w:tc>
        <w:tc>
          <w:tcPr>
            <w:tcW w:type="dxa" w:w="6336"/>
            <w:tcMar>
              <w:top w:w="65" w:type="dxa"/>
              <w:start w:w="90" w:type="dxa"/>
              <w:bottom w:w="65" w:type="dxa"/>
              <w:end w:w="90" w:type="dxa"/>
            </w:tcMar>
            <w:shd w:fill="F3F5F7"/>
          </w:tcPr>
          <w:p>
            <w:pPr>
              <w:spacing w:after="0"/>
            </w:pPr>
            <w:r>
              <w:rPr>
                <w:rFonts w:ascii="Arial" w:hAnsi="Arial"/>
                <w:sz w:val="14"/>
              </w:rPr>
              <w:t>Record hypothesis, owner, data version, code commit, configuration, sample, metrics, decisions, limitations, and artifacts for every material experiment.</w:t>
            </w:r>
          </w:p>
        </w:tc>
      </w:tr>
      <w:tr>
        <w:trPr>
          <w:cantSplit/>
        </w:trPr>
        <w:tc>
          <w:tcPr>
            <w:tcW w:type="dxa" w:w="792"/>
            <w:tcMar>
              <w:top w:w="65" w:type="dxa"/>
              <w:start w:w="90" w:type="dxa"/>
              <w:bottom w:w="65" w:type="dxa"/>
              <w:end w:w="90" w:type="dxa"/>
            </w:tcMar>
          </w:tcPr>
          <w:p>
            <w:pPr>
              <w:spacing w:after="0"/>
            </w:pPr>
            <w:r>
              <w:rPr>
                <w:rFonts w:ascii="Arial" w:hAnsi="Arial"/>
                <w:sz w:val="14"/>
              </w:rPr>
              <w:t>FR-15</w:t>
            </w:r>
          </w:p>
        </w:tc>
        <w:tc>
          <w:tcPr>
            <w:tcW w:type="dxa" w:w="720"/>
            <w:tcMar>
              <w:top w:w="65" w:type="dxa"/>
              <w:start w:w="90" w:type="dxa"/>
              <w:bottom w:w="65" w:type="dxa"/>
              <w:end w:w="90" w:type="dxa"/>
            </w:tcMar>
          </w:tcPr>
          <w:p>
            <w:pPr>
              <w:spacing w:after="0"/>
            </w:pPr>
            <w:r>
              <w:rPr>
                <w:rFonts w:ascii="Arial" w:hAnsi="Arial"/>
                <w:sz w:val="14"/>
              </w:rPr>
              <w:t>P1</w:t>
            </w:r>
          </w:p>
        </w:tc>
        <w:tc>
          <w:tcPr>
            <w:tcW w:type="dxa" w:w="2520"/>
            <w:tcMar>
              <w:top w:w="65" w:type="dxa"/>
              <w:start w:w="90" w:type="dxa"/>
              <w:bottom w:w="65" w:type="dxa"/>
              <w:end w:w="90" w:type="dxa"/>
            </w:tcMar>
          </w:tcPr>
          <w:p>
            <w:pPr>
              <w:spacing w:after="0"/>
            </w:pPr>
            <w:r>
              <w:rPr>
                <w:rFonts w:ascii="Arial" w:hAnsi="Arial"/>
                <w:sz w:val="14"/>
              </w:rPr>
              <w:t>Reproducible run interface</w:t>
            </w:r>
          </w:p>
        </w:tc>
        <w:tc>
          <w:tcPr>
            <w:tcW w:type="dxa" w:w="6336"/>
            <w:tcMar>
              <w:top w:w="65" w:type="dxa"/>
              <w:start w:w="90" w:type="dxa"/>
              <w:bottom w:w="65" w:type="dxa"/>
              <w:end w:w="90" w:type="dxa"/>
            </w:tcMar>
          </w:tcPr>
          <w:p>
            <w:pPr>
              <w:spacing w:after="0"/>
            </w:pPr>
            <w:r>
              <w:rPr>
                <w:rFonts w:ascii="Arial" w:hAnsi="Arial"/>
                <w:sz w:val="14"/>
              </w:rPr>
              <w:t>Provide scripts or commands that reproduce the trusted tables, research milestones, backtests, and reports without manual notebook state.</w:t>
            </w:r>
          </w:p>
        </w:tc>
      </w:tr>
      <w:tr>
        <w:trPr>
          <w:cantSplit/>
        </w:trPr>
        <w:tc>
          <w:tcPr>
            <w:tcW w:type="dxa" w:w="792"/>
            <w:tcMar>
              <w:top w:w="65" w:type="dxa"/>
              <w:start w:w="90" w:type="dxa"/>
              <w:bottom w:w="65" w:type="dxa"/>
              <w:end w:w="90" w:type="dxa"/>
            </w:tcMar>
            <w:shd w:fill="F3F5F7"/>
          </w:tcPr>
          <w:p>
            <w:pPr>
              <w:spacing w:after="0"/>
            </w:pPr>
            <w:r>
              <w:rPr>
                <w:rFonts w:ascii="Arial" w:hAnsi="Arial"/>
                <w:sz w:val="14"/>
              </w:rPr>
              <w:t>FR-16</w:t>
            </w:r>
          </w:p>
        </w:tc>
        <w:tc>
          <w:tcPr>
            <w:tcW w:type="dxa" w:w="720"/>
            <w:tcMar>
              <w:top w:w="65" w:type="dxa"/>
              <w:start w:w="90" w:type="dxa"/>
              <w:bottom w:w="65" w:type="dxa"/>
              <w:end w:w="90" w:type="dxa"/>
            </w:tcMar>
            <w:shd w:fill="F3F5F7"/>
          </w:tcPr>
          <w:p>
            <w:pPr>
              <w:spacing w:after="0"/>
            </w:pPr>
            <w:r>
              <w:rPr>
                <w:rFonts w:ascii="Arial" w:hAnsi="Arial"/>
                <w:sz w:val="14"/>
              </w:rPr>
              <w:t>P1</w:t>
            </w:r>
          </w:p>
        </w:tc>
        <w:tc>
          <w:tcPr>
            <w:tcW w:type="dxa" w:w="2520"/>
            <w:tcMar>
              <w:top w:w="65" w:type="dxa"/>
              <w:start w:w="90" w:type="dxa"/>
              <w:bottom w:w="65" w:type="dxa"/>
              <w:end w:w="90" w:type="dxa"/>
            </w:tcMar>
            <w:shd w:fill="F3F5F7"/>
          </w:tcPr>
          <w:p>
            <w:pPr>
              <w:spacing w:after="0"/>
            </w:pPr>
            <w:r>
              <w:rPr>
                <w:rFonts w:ascii="Arial" w:hAnsi="Arial"/>
                <w:sz w:val="14"/>
              </w:rPr>
              <w:t>Monitoring dashboard</w:t>
            </w:r>
          </w:p>
        </w:tc>
        <w:tc>
          <w:tcPr>
            <w:tcW w:type="dxa" w:w="6336"/>
            <w:tcMar>
              <w:top w:w="65" w:type="dxa"/>
              <w:start w:w="90" w:type="dxa"/>
              <w:bottom w:w="65" w:type="dxa"/>
              <w:end w:w="90" w:type="dxa"/>
            </w:tcMar>
            <w:shd w:fill="F3F5F7"/>
          </w:tcPr>
          <w:p>
            <w:pPr>
              <w:spacing w:after="0"/>
            </w:pPr>
            <w:r>
              <w:rPr>
                <w:rFonts w:ascii="Arial" w:hAnsi="Arial"/>
                <w:sz w:val="14"/>
              </w:rPr>
              <w:t>Display data freshness, gateway status, signal state, orders, fills, positions, P&amp;L, risk utilization, prop-rule headroom, and alerts.</w:t>
            </w:r>
          </w:p>
        </w:tc>
      </w:tr>
      <w:tr>
        <w:trPr>
          <w:cantSplit/>
        </w:trPr>
        <w:tc>
          <w:tcPr>
            <w:tcW w:type="dxa" w:w="792"/>
            <w:tcMar>
              <w:top w:w="65" w:type="dxa"/>
              <w:start w:w="90" w:type="dxa"/>
              <w:bottom w:w="65" w:type="dxa"/>
              <w:end w:w="90" w:type="dxa"/>
            </w:tcMar>
          </w:tcPr>
          <w:p>
            <w:pPr>
              <w:spacing w:after="0"/>
            </w:pPr>
            <w:r>
              <w:rPr>
                <w:rFonts w:ascii="Arial" w:hAnsi="Arial"/>
                <w:sz w:val="14"/>
              </w:rPr>
              <w:t>FR-17</w:t>
            </w:r>
          </w:p>
        </w:tc>
        <w:tc>
          <w:tcPr>
            <w:tcW w:type="dxa" w:w="720"/>
            <w:tcMar>
              <w:top w:w="65" w:type="dxa"/>
              <w:start w:w="90" w:type="dxa"/>
              <w:bottom w:w="65" w:type="dxa"/>
              <w:end w:w="90" w:type="dxa"/>
            </w:tcMar>
          </w:tcPr>
          <w:p>
            <w:pPr>
              <w:spacing w:after="0"/>
            </w:pPr>
            <w:r>
              <w:rPr>
                <w:rFonts w:ascii="Arial" w:hAnsi="Arial"/>
                <w:sz w:val="14"/>
              </w:rPr>
              <w:t>P2</w:t>
            </w:r>
          </w:p>
        </w:tc>
        <w:tc>
          <w:tcPr>
            <w:tcW w:type="dxa" w:w="2520"/>
            <w:tcMar>
              <w:top w:w="65" w:type="dxa"/>
              <w:start w:w="90" w:type="dxa"/>
              <w:bottom w:w="65" w:type="dxa"/>
              <w:end w:w="90" w:type="dxa"/>
            </w:tcMar>
          </w:tcPr>
          <w:p>
            <w:pPr>
              <w:spacing w:after="0"/>
            </w:pPr>
            <w:r>
              <w:rPr>
                <w:rFonts w:ascii="Arial" w:hAnsi="Arial"/>
                <w:sz w:val="14"/>
              </w:rPr>
              <w:t>TBBO/MBP/MBO expansion</w:t>
            </w:r>
          </w:p>
        </w:tc>
        <w:tc>
          <w:tcPr>
            <w:tcW w:type="dxa" w:w="6336"/>
            <w:tcMar>
              <w:top w:w="65" w:type="dxa"/>
              <w:start w:w="90" w:type="dxa"/>
              <w:bottom w:w="65" w:type="dxa"/>
              <w:end w:w="90" w:type="dxa"/>
            </w:tcMar>
          </w:tcPr>
          <w:p>
            <w:pPr>
              <w:spacing w:after="0"/>
            </w:pPr>
            <w:r>
              <w:rPr>
                <w:rFonts w:ascii="Arial" w:hAnsi="Arial"/>
                <w:sz w:val="14"/>
              </w:rPr>
              <w:t>Add granular order-flow research as a separate data and architecture programme after cost, storage, compute, and research gates are approved.</w:t>
            </w:r>
          </w:p>
        </w:tc>
      </w:tr>
    </w:tbl>
    <w:p>
      <w:pPr>
        <w:spacing w:after="0"/>
        <w:widowControl/>
      </w:pPr>
    </w:p>
    <w:p>
      <w:pPr>
        <w:pStyle w:val="Heading1"/>
        <w:pBdr>
          <w:bottom w:val="single" w:sz="8" w:space="3" w:color="B88A2A"/>
        </w:pBdr>
        <w:widowControl/>
      </w:pPr>
      <w:r>
        <w:rPr>
          <w:rFonts w:ascii="Arial" w:hAnsi="Arial"/>
          <w:b/>
          <w:color w:val="172033"/>
          <w:sz w:val="36"/>
        </w:rPr>
        <w:t>11. Quantitative Research Requirements</w:t>
      </w:r>
    </w:p>
    <w:p>
      <w:pPr>
        <w:pStyle w:val="Heading2"/>
        <w:widowControl/>
      </w:pPr>
      <w:r>
        <w:t>11.1 Observation and execution convention</w:t>
      </w:r>
    </w:p>
    <w:p>
      <w:pPr>
        <w:pStyle w:val="ListBullet"/>
        <w:spacing w:after="40"/>
        <w:ind w:left="317" w:hanging="173"/>
        <w:widowControl/>
      </w:pPr>
      <w:r>
        <w:rPr>
          <w:rFonts w:ascii="Arial" w:hAnsi="Arial"/>
        </w:rPr>
        <w:t>Decision features end at completed bar t.</w:t>
      </w:r>
    </w:p>
    <w:p>
      <w:pPr>
        <w:pStyle w:val="ListBullet"/>
        <w:spacing w:after="40"/>
        <w:ind w:left="317" w:hanging="173"/>
        <w:widowControl/>
      </w:pPr>
      <w:r>
        <w:rPr>
          <w:rFonts w:ascii="Arial" w:hAnsi="Arial"/>
        </w:rPr>
        <w:t>Theoretical entry is at the open of bar t+1 unless a different executable convention is explicitly defined.</w:t>
      </w:r>
    </w:p>
    <w:p>
      <w:pPr>
        <w:pStyle w:val="ListBullet"/>
        <w:spacing w:after="40"/>
        <w:ind w:left="317" w:hanging="173"/>
        <w:widowControl/>
      </w:pPr>
      <w:r>
        <w:rPr>
          <w:rFonts w:ascii="Arial" w:hAnsi="Arial"/>
        </w:rPr>
        <w:t>Entry eligibility is determined by the entry timestamp, not merely the feature timestamp.</w:t>
      </w:r>
    </w:p>
    <w:p>
      <w:pPr>
        <w:pStyle w:val="ListBullet"/>
        <w:spacing w:after="40"/>
        <w:ind w:left="317" w:hanging="173"/>
        <w:widowControl/>
      </w:pPr>
      <w:r>
        <w:rPr>
          <w:rFonts w:ascii="Arial" w:hAnsi="Arial"/>
        </w:rPr>
        <w:t>Fixed-horizon future paths begin at t+1 and are unavailable—not shortened—when the full path crosses an invalid boundary.</w:t>
      </w:r>
    </w:p>
    <w:p>
      <w:pPr>
        <w:pStyle w:val="ListBullet"/>
        <w:spacing w:after="40"/>
        <w:ind w:left="317" w:hanging="173"/>
        <w:widowControl/>
      </w:pPr>
      <w:r>
        <w:rPr>
          <w:rFonts w:ascii="Arial" w:hAnsi="Arial"/>
        </w:rPr>
        <w:t>The initial fixed horizons are 5, 15, 30, 60, 120, and 180 minutes.</w:t>
      </w:r>
    </w:p>
    <w:p>
      <w:pPr>
        <w:pStyle w:val="Heading2"/>
        <w:widowControl/>
      </w:pPr>
      <w:r>
        <w:t>11.2 Chronological governance</w:t>
      </w:r>
    </w:p>
    <w:p>
      <w:pPr>
        <w:pStyle w:val="ListBullet"/>
        <w:spacing w:after="40"/>
        <w:ind w:left="317" w:hanging="173"/>
        <w:widowControl/>
      </w:pPr>
      <w:r>
        <w:rPr>
          <w:rFonts w:ascii="Arial" w:hAnsi="Arial"/>
        </w:rPr>
        <w:t>Development: start of eligible data through 31 December 2023.</w:t>
      </w:r>
    </w:p>
    <w:p>
      <w:pPr>
        <w:pStyle w:val="ListBullet"/>
        <w:spacing w:after="40"/>
        <w:ind w:left="317" w:hanging="173"/>
        <w:widowControl/>
      </w:pPr>
      <w:r>
        <w:rPr>
          <w:rFonts w:ascii="Arial" w:hAnsi="Arial"/>
        </w:rPr>
        <w:t>Validation: 1 January 2024 through 31 December 2024.</w:t>
      </w:r>
    </w:p>
    <w:p>
      <w:pPr>
        <w:pStyle w:val="ListBullet"/>
        <w:spacing w:after="40"/>
        <w:ind w:left="317" w:hanging="173"/>
        <w:widowControl/>
      </w:pPr>
      <w:r>
        <w:rPr>
          <w:rFonts w:ascii="Arial" w:hAnsi="Arial"/>
        </w:rPr>
        <w:t>Final test: 1 January 2025 through 22 May 2026.</w:t>
      </w:r>
    </w:p>
    <w:p>
      <w:pPr>
        <w:pStyle w:val="ListBullet"/>
        <w:spacing w:after="40"/>
        <w:ind w:left="317" w:hanging="173"/>
        <w:widowControl/>
      </w:pPr>
      <w:r>
        <w:rPr>
          <w:rFonts w:ascii="Arial" w:hAnsi="Arial"/>
        </w:rPr>
        <w:t>The final-test period has already had limited descriptive exposure and must not be described as fully unseen.</w:t>
      </w:r>
    </w:p>
    <w:p>
      <w:pPr>
        <w:pStyle w:val="ListBullet"/>
        <w:spacing w:after="40"/>
        <w:ind w:left="317" w:hanging="173"/>
        <w:widowControl/>
      </w:pPr>
      <w:r>
        <w:rPr>
          <w:rFonts w:ascii="Arial" w:hAnsi="Arial"/>
        </w:rPr>
        <w:t>New definitions, thresholds, and models may not be tuned to exposed final-test outcomes. Forward paper data and newly collected live-market data provide the cleanest future holdout.</w:t>
      </w:r>
    </w:p>
    <w:p>
      <w:pPr>
        <w:pStyle w:val="Heading2"/>
        <w:widowControl/>
      </w:pPr>
      <w:r>
        <w:t>11.3 Statistical standards</w:t>
      </w:r>
    </w:p>
    <w:p>
      <w:pPr>
        <w:pStyle w:val="ListBullet"/>
        <w:spacing w:after="40"/>
        <w:ind w:left="317" w:hanging="173"/>
        <w:widowControl/>
      </w:pPr>
      <w:r>
        <w:rPr>
          <w:rFonts w:ascii="Arial" w:hAnsi="Arial"/>
        </w:rPr>
        <w:t>Chronological splits only; random splitting of minute observations is prohibited.</w:t>
      </w:r>
    </w:p>
    <w:p>
      <w:pPr>
        <w:pStyle w:val="ListBullet"/>
        <w:spacing w:after="40"/>
        <w:ind w:left="317" w:hanging="173"/>
        <w:widowControl/>
      </w:pPr>
      <w:r>
        <w:rPr>
          <w:rFonts w:ascii="Arial" w:hAnsi="Arial"/>
        </w:rPr>
        <w:t>Purging or embargo must be used where overlapping labels create train/test dependence.</w:t>
      </w:r>
    </w:p>
    <w:p>
      <w:pPr>
        <w:pStyle w:val="ListBullet"/>
        <w:spacing w:after="40"/>
        <w:ind w:left="317" w:hanging="173"/>
        <w:widowControl/>
      </w:pPr>
      <w:r>
        <w:rPr>
          <w:rFonts w:ascii="Arial" w:hAnsi="Arial"/>
        </w:rPr>
        <w:t>Thresholds, bins, normalizers, and time-of-day baselines are fitted on Development only and reused unchanged out of sample.</w:t>
      </w:r>
    </w:p>
    <w:p>
      <w:pPr>
        <w:pStyle w:val="ListBullet"/>
        <w:spacing w:after="40"/>
        <w:ind w:left="317" w:hanging="173"/>
        <w:widowControl/>
      </w:pPr>
      <w:r>
        <w:rPr>
          <w:rFonts w:ascii="Arial" w:hAnsi="Arial"/>
        </w:rPr>
        <w:t>Broad feature screens require false-discovery control, effect sizes, date coverage, and stability—not p-values alone.</w:t>
      </w:r>
    </w:p>
    <w:p>
      <w:pPr>
        <w:pStyle w:val="ListBullet"/>
        <w:spacing w:after="40"/>
        <w:ind w:left="317" w:hanging="173"/>
        <w:widowControl/>
      </w:pPr>
      <w:r>
        <w:rPr>
          <w:rFonts w:ascii="Arial" w:hAnsi="Arial"/>
        </w:rPr>
        <w:t>Overlapping observations are correlated events, not independent trades; date-block bootstrap or equivalent dependence-aware methods are preferred.</w:t>
      </w:r>
    </w:p>
    <w:p>
      <w:pPr>
        <w:pStyle w:val="ListBullet"/>
        <w:spacing w:after="40"/>
        <w:ind w:left="317" w:hanging="173"/>
        <w:widowControl/>
      </w:pPr>
      <w:r>
        <w:rPr>
          <w:rFonts w:ascii="Arial" w:hAnsi="Arial"/>
        </w:rPr>
        <w:t>Feature redundancy must be reduced before multivariate modelling. Interpretable representatives are preferred over duplicate transformations.</w:t>
      </w:r>
    </w:p>
    <w:p>
      <w:pPr>
        <w:pStyle w:val="ListBullet"/>
        <w:spacing w:after="40"/>
        <w:ind w:left="317" w:hanging="173"/>
        <w:widowControl/>
      </w:pPr>
      <w:r>
        <w:rPr>
          <w:rFonts w:ascii="Arial" w:hAnsi="Arial"/>
        </w:rPr>
        <w:t>Simple linear/logistic benchmarks precede more complex tree or nonlinear models.</w:t>
      </w:r>
    </w:p>
    <w:p>
      <w:pPr>
        <w:pStyle w:val="ListBullet"/>
        <w:spacing w:after="40"/>
        <w:ind w:left="317" w:hanging="173"/>
        <w:widowControl/>
      </w:pPr>
      <w:r>
        <w:rPr>
          <w:rFonts w:ascii="Arial" w:hAnsi="Arial"/>
        </w:rPr>
        <w:t>No strategy rule is approved from event-level average returns alone.</w:t>
      </w:r>
    </w:p>
    <w:p>
      <w:pPr>
        <w:pStyle w:val="Heading2"/>
        <w:widowControl/>
      </w:pPr>
      <w:r>
        <w:t>11.4 Candidate approval evidence</w:t>
      </w:r>
    </w:p>
    <w:p>
      <w:pPr>
        <w:widowControl/>
      </w:pPr>
      <w:r>
        <w:rPr>
          <w:rFonts w:ascii="Arial" w:hAnsi="Arial"/>
          <w:i w:val="0"/>
        </w:rPr>
        <w:t>Before a signal becomes a backtest candidate, the research report must include its economic hypothesis, exact availability timing, sample size, date coverage, Development and Validation behaviour, session/year/regime breakdowns, effect size, uncertainty, friction-aware magnitude, parameter sensitivity, failure modes, and reasons for rejection or advancement.</w:t>
      </w:r>
    </w:p>
    <w:p>
      <w:pPr>
        <w:pStyle w:val="Heading1"/>
        <w:pBdr>
          <w:bottom w:val="single" w:sz="8" w:space="3" w:color="B88A2A"/>
        </w:pBdr>
        <w:widowControl/>
      </w:pPr>
      <w:r>
        <w:rPr>
          <w:rFonts w:ascii="Arial" w:hAnsi="Arial"/>
          <w:b/>
          <w:color w:val="172033"/>
          <w:sz w:val="36"/>
        </w:rPr>
        <w:t>12. Backtesting Requirements</w:t>
      </w:r>
    </w:p>
    <w:p>
      <w:pPr>
        <w:widowControl/>
      </w:pPr>
      <w:r>
        <w:rPr>
          <w:rFonts w:ascii="Arial" w:hAnsi="Arial"/>
          <w:i w:val="0"/>
        </w:rPr>
        <w:t>A backtest must behave like a chronological trading process. It may not assume that every overlapping event can be traded independently or that maximum favourable excursion is realized profit.</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232"/>
            <w:shd w:fill="172033"/>
            <w:tcMar>
              <w:top w:w="75" w:type="dxa"/>
              <w:start w:w="90" w:type="dxa"/>
              <w:bottom w:w="75" w:type="dxa"/>
              <w:end w:w="90" w:type="dxa"/>
            </w:tcMar>
            <w:vAlign w:val="center"/>
          </w:tcPr>
          <w:p>
            <w:pPr>
              <w:jc w:val="left"/>
            </w:pPr>
            <w:r>
              <w:rPr>
                <w:rFonts w:ascii="Arial" w:hAnsi="Arial"/>
                <w:b/>
                <w:color w:val="FFFFFF"/>
                <w:sz w:val="16"/>
              </w:rPr>
              <w:t>Area</w:t>
            </w:r>
          </w:p>
        </w:tc>
        <w:tc>
          <w:tcPr>
            <w:tcW w:type="dxa" w:w="8136"/>
            <w:shd w:fill="172033"/>
            <w:tcMar>
              <w:top w:w="75" w:type="dxa"/>
              <w:start w:w="90" w:type="dxa"/>
              <w:bottom w:w="75" w:type="dxa"/>
              <w:end w:w="90" w:type="dxa"/>
            </w:tcMar>
            <w:vAlign w:val="center"/>
          </w:tcPr>
          <w:p>
            <w:pPr>
              <w:jc w:val="left"/>
            </w:pPr>
            <w:r>
              <w:rPr>
                <w:rFonts w:ascii="Arial" w:hAnsi="Arial"/>
                <w:b/>
                <w:color w:val="FFFFFF"/>
                <w:sz w:val="16"/>
              </w:rPr>
              <w:t>Required treatment</w:t>
            </w:r>
          </w:p>
        </w:tc>
      </w:tr>
      <w:tr>
        <w:trPr>
          <w:cantSplit/>
        </w:trPr>
        <w:tc>
          <w:tcPr>
            <w:tcW w:type="dxa" w:w="2232"/>
            <w:tcMar>
              <w:top w:w="65" w:type="dxa"/>
              <w:start w:w="90" w:type="dxa"/>
              <w:bottom w:w="65" w:type="dxa"/>
              <w:end w:w="90" w:type="dxa"/>
            </w:tcMar>
          </w:tcPr>
          <w:p>
            <w:pPr>
              <w:spacing w:after="0"/>
            </w:pPr>
            <w:r>
              <w:rPr>
                <w:rFonts w:ascii="Arial" w:hAnsi="Arial"/>
                <w:sz w:val="15"/>
              </w:rPr>
              <w:t>Order timing</w:t>
            </w:r>
          </w:p>
        </w:tc>
        <w:tc>
          <w:tcPr>
            <w:tcW w:type="dxa" w:w="8136"/>
            <w:tcMar>
              <w:top w:w="65" w:type="dxa"/>
              <w:start w:w="90" w:type="dxa"/>
              <w:bottom w:w="65" w:type="dxa"/>
              <w:end w:w="90" w:type="dxa"/>
            </w:tcMar>
          </w:tcPr>
          <w:p>
            <w:pPr>
              <w:spacing w:after="0"/>
            </w:pPr>
            <w:r>
              <w:rPr>
                <w:rFonts w:ascii="Arial" w:hAnsi="Arial"/>
                <w:sz w:val="15"/>
              </w:rPr>
              <w:t>Use next-bar or another explicitly executable convention. Prohibit same-bar fills that rely on a close known only after the order would have been submitted.</w:t>
            </w:r>
          </w:p>
        </w:tc>
      </w:tr>
      <w:tr>
        <w:trPr>
          <w:cantSplit/>
        </w:trPr>
        <w:tc>
          <w:tcPr>
            <w:tcW w:type="dxa" w:w="2232"/>
            <w:tcMar>
              <w:top w:w="65" w:type="dxa"/>
              <w:start w:w="90" w:type="dxa"/>
              <w:bottom w:w="65" w:type="dxa"/>
              <w:end w:w="90" w:type="dxa"/>
            </w:tcMar>
            <w:shd w:fill="F3F5F7"/>
          </w:tcPr>
          <w:p>
            <w:pPr>
              <w:spacing w:after="0"/>
            </w:pPr>
            <w:r>
              <w:rPr>
                <w:rFonts w:ascii="Arial" w:hAnsi="Arial"/>
                <w:sz w:val="15"/>
              </w:rPr>
              <w:t>Intrabar ambiguity</w:t>
            </w:r>
          </w:p>
        </w:tc>
        <w:tc>
          <w:tcPr>
            <w:tcW w:type="dxa" w:w="8136"/>
            <w:tcMar>
              <w:top w:w="65" w:type="dxa"/>
              <w:start w:w="90" w:type="dxa"/>
              <w:bottom w:w="65" w:type="dxa"/>
              <w:end w:w="90" w:type="dxa"/>
            </w:tcMar>
            <w:shd w:fill="F3F5F7"/>
          </w:tcPr>
          <w:p>
            <w:pPr>
              <w:spacing w:after="0"/>
            </w:pPr>
            <w:r>
              <w:rPr>
                <w:rFonts w:ascii="Arial" w:hAnsi="Arial"/>
                <w:sz w:val="15"/>
              </w:rPr>
              <w:t>When stop and target are both touched inside a one-minute bar, use conservative ordering, exclude the observation, or report a bounded scenario range. Optimistic ordering may be shown only as an upper bound.</w:t>
            </w:r>
          </w:p>
        </w:tc>
      </w:tr>
      <w:tr>
        <w:trPr>
          <w:cantSplit/>
        </w:trPr>
        <w:tc>
          <w:tcPr>
            <w:tcW w:type="dxa" w:w="2232"/>
            <w:tcMar>
              <w:top w:w="65" w:type="dxa"/>
              <w:start w:w="90" w:type="dxa"/>
              <w:bottom w:w="65" w:type="dxa"/>
              <w:end w:w="90" w:type="dxa"/>
            </w:tcMar>
          </w:tcPr>
          <w:p>
            <w:pPr>
              <w:spacing w:after="0"/>
            </w:pPr>
            <w:r>
              <w:rPr>
                <w:rFonts w:ascii="Arial" w:hAnsi="Arial"/>
                <w:sz w:val="15"/>
              </w:rPr>
              <w:t>Costs</w:t>
            </w:r>
          </w:p>
        </w:tc>
        <w:tc>
          <w:tcPr>
            <w:tcW w:type="dxa" w:w="8136"/>
            <w:tcMar>
              <w:top w:w="65" w:type="dxa"/>
              <w:start w:w="90" w:type="dxa"/>
              <w:bottom w:w="65" w:type="dxa"/>
              <w:end w:w="90" w:type="dxa"/>
            </w:tcMar>
          </w:tcPr>
          <w:p>
            <w:pPr>
              <w:spacing w:after="0"/>
            </w:pPr>
            <w:r>
              <w:rPr>
                <w:rFonts w:ascii="Arial" w:hAnsi="Arial"/>
                <w:sz w:val="15"/>
              </w:rPr>
              <w:t>Include commissions, exchange/clearing fees, spread, slippage, and a pessimistic stress case. Cost assumptions must be versioned by instrument and date.</w:t>
            </w:r>
          </w:p>
        </w:tc>
      </w:tr>
      <w:tr>
        <w:trPr>
          <w:cantSplit/>
        </w:trPr>
        <w:tc>
          <w:tcPr>
            <w:tcW w:type="dxa" w:w="2232"/>
            <w:tcMar>
              <w:top w:w="65" w:type="dxa"/>
              <w:start w:w="90" w:type="dxa"/>
              <w:bottom w:w="65" w:type="dxa"/>
              <w:end w:w="90" w:type="dxa"/>
            </w:tcMar>
            <w:shd w:fill="F3F5F7"/>
          </w:tcPr>
          <w:p>
            <w:pPr>
              <w:spacing w:after="0"/>
            </w:pPr>
            <w:r>
              <w:rPr>
                <w:rFonts w:ascii="Arial" w:hAnsi="Arial"/>
                <w:sz w:val="15"/>
              </w:rPr>
              <w:t>Position state</w:t>
            </w:r>
          </w:p>
        </w:tc>
        <w:tc>
          <w:tcPr>
            <w:tcW w:type="dxa" w:w="8136"/>
            <w:tcMar>
              <w:top w:w="65" w:type="dxa"/>
              <w:start w:w="90" w:type="dxa"/>
              <w:bottom w:w="65" w:type="dxa"/>
              <w:end w:w="90" w:type="dxa"/>
            </w:tcMar>
            <w:shd w:fill="F3F5F7"/>
          </w:tcPr>
          <w:p>
            <w:pPr>
              <w:spacing w:after="0"/>
            </w:pPr>
            <w:r>
              <w:rPr>
                <w:rFonts w:ascii="Arial" w:hAnsi="Arial"/>
                <w:sz w:val="15"/>
              </w:rPr>
              <w:t>Define one-position versus multi-position behaviour, pyramiding, re-entry, signal conflicts, side switching, and account-level exposure.</w:t>
            </w:r>
          </w:p>
        </w:tc>
      </w:tr>
      <w:tr>
        <w:trPr>
          <w:cantSplit/>
        </w:trPr>
        <w:tc>
          <w:tcPr>
            <w:tcW w:type="dxa" w:w="2232"/>
            <w:tcMar>
              <w:top w:w="65" w:type="dxa"/>
              <w:start w:w="90" w:type="dxa"/>
              <w:bottom w:w="65" w:type="dxa"/>
              <w:end w:w="90" w:type="dxa"/>
            </w:tcMar>
          </w:tcPr>
          <w:p>
            <w:pPr>
              <w:spacing w:after="0"/>
            </w:pPr>
            <w:r>
              <w:rPr>
                <w:rFonts w:ascii="Arial" w:hAnsi="Arial"/>
                <w:sz w:val="15"/>
              </w:rPr>
              <w:t>Session rules</w:t>
            </w:r>
          </w:p>
        </w:tc>
        <w:tc>
          <w:tcPr>
            <w:tcW w:type="dxa" w:w="8136"/>
            <w:tcMar>
              <w:top w:w="65" w:type="dxa"/>
              <w:start w:w="90" w:type="dxa"/>
              <w:bottom w:w="65" w:type="dxa"/>
              <w:end w:w="90" w:type="dxa"/>
            </w:tcMar>
          </w:tcPr>
          <w:p>
            <w:pPr>
              <w:spacing w:after="0"/>
            </w:pPr>
            <w:r>
              <w:rPr>
                <w:rFonts w:ascii="Arial" w:hAnsi="Arial"/>
                <w:sz w:val="15"/>
              </w:rPr>
              <w:t>Initial entries are restricted to London [03:00, 06:00) and New York [07:00, 12:00) America/New_York. No entries from 06:00–07:00 or at/after noon.</w:t>
            </w:r>
          </w:p>
        </w:tc>
      </w:tr>
      <w:tr>
        <w:trPr>
          <w:cantSplit/>
        </w:trPr>
        <w:tc>
          <w:tcPr>
            <w:tcW w:type="dxa" w:w="2232"/>
            <w:tcMar>
              <w:top w:w="65" w:type="dxa"/>
              <w:start w:w="90" w:type="dxa"/>
              <w:bottom w:w="65" w:type="dxa"/>
              <w:end w:w="90" w:type="dxa"/>
            </w:tcMar>
            <w:shd w:fill="F3F5F7"/>
          </w:tcPr>
          <w:p>
            <w:pPr>
              <w:spacing w:after="0"/>
            </w:pPr>
            <w:r>
              <w:rPr>
                <w:rFonts w:ascii="Arial" w:hAnsi="Arial"/>
                <w:sz w:val="15"/>
              </w:rPr>
              <w:t>End of day</w:t>
            </w:r>
          </w:p>
        </w:tc>
        <w:tc>
          <w:tcPr>
            <w:tcW w:type="dxa" w:w="8136"/>
            <w:tcMar>
              <w:top w:w="65" w:type="dxa"/>
              <w:start w:w="90" w:type="dxa"/>
              <w:bottom w:w="65" w:type="dxa"/>
              <w:end w:w="90" w:type="dxa"/>
            </w:tcMar>
            <w:shd w:fill="F3F5F7"/>
          </w:tcPr>
          <w:p>
            <w:pPr>
              <w:spacing w:after="0"/>
            </w:pPr>
            <w:r>
              <w:rPr>
                <w:rFonts w:ascii="Arial" w:hAnsi="Arial"/>
                <w:sz w:val="15"/>
              </w:rPr>
              <w:t>All positions must be flat no later than 15:30 New York time. No overnight holding in the initial product.</w:t>
            </w:r>
          </w:p>
        </w:tc>
      </w:tr>
      <w:tr>
        <w:trPr>
          <w:cantSplit/>
        </w:trPr>
        <w:tc>
          <w:tcPr>
            <w:tcW w:type="dxa" w:w="2232"/>
            <w:tcMar>
              <w:top w:w="65" w:type="dxa"/>
              <w:start w:w="90" w:type="dxa"/>
              <w:bottom w:w="65" w:type="dxa"/>
              <w:end w:w="90" w:type="dxa"/>
            </w:tcMar>
          </w:tcPr>
          <w:p>
            <w:pPr>
              <w:spacing w:after="0"/>
            </w:pPr>
            <w:r>
              <w:rPr>
                <w:rFonts w:ascii="Arial" w:hAnsi="Arial"/>
                <w:sz w:val="15"/>
              </w:rPr>
              <w:t>Rollover and tradability</w:t>
            </w:r>
          </w:p>
        </w:tc>
        <w:tc>
          <w:tcPr>
            <w:tcW w:type="dxa" w:w="8136"/>
            <w:tcMar>
              <w:top w:w="65" w:type="dxa"/>
              <w:start w:w="90" w:type="dxa"/>
              <w:bottom w:w="65" w:type="dxa"/>
              <w:end w:w="90" w:type="dxa"/>
            </w:tcMar>
          </w:tcPr>
          <w:p>
            <w:pPr>
              <w:spacing w:after="0"/>
            </w:pPr>
            <w:r>
              <w:rPr>
                <w:rFonts w:ascii="Arial" w:hAnsi="Arial"/>
                <w:sz w:val="15"/>
              </w:rPr>
              <w:t>No trade path may cross an invalid rollover, contract, continuous-segment, missing-bar, or non-tradable boundary.</w:t>
            </w:r>
          </w:p>
        </w:tc>
      </w:tr>
      <w:tr>
        <w:trPr>
          <w:cantSplit/>
        </w:trPr>
        <w:tc>
          <w:tcPr>
            <w:tcW w:type="dxa" w:w="2232"/>
            <w:tcMar>
              <w:top w:w="65" w:type="dxa"/>
              <w:start w:w="90" w:type="dxa"/>
              <w:bottom w:w="65" w:type="dxa"/>
              <w:end w:w="90" w:type="dxa"/>
            </w:tcMar>
            <w:shd w:fill="F3F5F7"/>
          </w:tcPr>
          <w:p>
            <w:pPr>
              <w:spacing w:after="0"/>
            </w:pPr>
            <w:r>
              <w:rPr>
                <w:rFonts w:ascii="Arial" w:hAnsi="Arial"/>
                <w:sz w:val="15"/>
              </w:rPr>
              <w:t>Sizing</w:t>
            </w:r>
          </w:p>
        </w:tc>
        <w:tc>
          <w:tcPr>
            <w:tcW w:type="dxa" w:w="8136"/>
            <w:tcMar>
              <w:top w:w="65" w:type="dxa"/>
              <w:start w:w="90" w:type="dxa"/>
              <w:bottom w:w="65" w:type="dxa"/>
              <w:end w:w="90" w:type="dxa"/>
            </w:tcMar>
            <w:shd w:fill="F3F5F7"/>
          </w:tcPr>
          <w:p>
            <w:pPr>
              <w:spacing w:after="0"/>
            </w:pPr>
            <w:r>
              <w:rPr>
                <w:rFonts w:ascii="Arial" w:hAnsi="Arial"/>
                <w:sz w:val="15"/>
              </w:rPr>
              <w:t>Evaluate fixed contract, volatility-targeted, fixed fractional, and prop-limit-aware sizing only after an explicit stop/risk unit exists.</w:t>
            </w:r>
          </w:p>
        </w:tc>
      </w:tr>
      <w:tr>
        <w:trPr>
          <w:cantSplit/>
        </w:trPr>
        <w:tc>
          <w:tcPr>
            <w:tcW w:type="dxa" w:w="2232"/>
            <w:tcMar>
              <w:top w:w="65" w:type="dxa"/>
              <w:start w:w="90" w:type="dxa"/>
              <w:bottom w:w="65" w:type="dxa"/>
              <w:end w:w="90" w:type="dxa"/>
            </w:tcMar>
          </w:tcPr>
          <w:p>
            <w:pPr>
              <w:spacing w:after="0"/>
            </w:pPr>
            <w:r>
              <w:rPr>
                <w:rFonts w:ascii="Arial" w:hAnsi="Arial"/>
                <w:sz w:val="15"/>
              </w:rPr>
              <w:t>Account model</w:t>
            </w:r>
          </w:p>
        </w:tc>
        <w:tc>
          <w:tcPr>
            <w:tcW w:type="dxa" w:w="8136"/>
            <w:tcMar>
              <w:top w:w="65" w:type="dxa"/>
              <w:start w:w="90" w:type="dxa"/>
              <w:bottom w:w="65" w:type="dxa"/>
              <w:end w:w="90" w:type="dxa"/>
            </w:tcMar>
          </w:tcPr>
          <w:p>
            <w:pPr>
              <w:spacing w:after="0"/>
            </w:pPr>
            <w:r>
              <w:rPr>
                <w:rFonts w:ascii="Arial" w:hAnsi="Arial"/>
                <w:sz w:val="15"/>
              </w:rPr>
              <w:t>Track realized/unrealized P&amp;L, commissions, buying power, drawdown type, daily reset, and prop-rule state.</w:t>
            </w:r>
          </w:p>
        </w:tc>
      </w:tr>
      <w:tr>
        <w:trPr>
          <w:cantSplit/>
        </w:trPr>
        <w:tc>
          <w:tcPr>
            <w:tcW w:type="dxa" w:w="2232"/>
            <w:tcMar>
              <w:top w:w="65" w:type="dxa"/>
              <w:start w:w="90" w:type="dxa"/>
              <w:bottom w:w="65" w:type="dxa"/>
              <w:end w:w="90" w:type="dxa"/>
            </w:tcMar>
            <w:shd w:fill="F3F5F7"/>
          </w:tcPr>
          <w:p>
            <w:pPr>
              <w:spacing w:after="0"/>
            </w:pPr>
            <w:r>
              <w:rPr>
                <w:rFonts w:ascii="Arial" w:hAnsi="Arial"/>
                <w:sz w:val="15"/>
              </w:rPr>
              <w:t>Validation</w:t>
            </w:r>
          </w:p>
        </w:tc>
        <w:tc>
          <w:tcPr>
            <w:tcW w:type="dxa" w:w="8136"/>
            <w:tcMar>
              <w:top w:w="65" w:type="dxa"/>
              <w:start w:w="90" w:type="dxa"/>
              <w:bottom w:w="65" w:type="dxa"/>
              <w:end w:w="90" w:type="dxa"/>
            </w:tcMar>
            <w:shd w:fill="F3F5F7"/>
          </w:tcPr>
          <w:p>
            <w:pPr>
              <w:spacing w:after="0"/>
            </w:pPr>
            <w:r>
              <w:rPr>
                <w:rFonts w:ascii="Arial" w:hAnsi="Arial"/>
                <w:sz w:val="15"/>
              </w:rPr>
              <w:t>Report walk-forward or locked-period results, parameter sensitivity, cost sensitivity, Monte Carlo/path resampling, and failure-mode analysis.</w:t>
            </w:r>
          </w:p>
        </w:tc>
      </w:tr>
    </w:tbl>
    <w:p>
      <w:pPr>
        <w:spacing w:after="0"/>
        <w:widowControl/>
      </w:pPr>
    </w:p>
    <w:p>
      <w:pPr>
        <w:pStyle w:val="Heading2"/>
        <w:widowControl/>
      </w:pPr>
      <w:r>
        <w:rPr>
          <w:rFonts w:ascii="Arial" w:hAnsi="Arial"/>
          <w:b/>
          <w:color w:val="B88A2A"/>
          <w:sz w:val="26"/>
        </w:rPr>
        <w:t>Minimum backtest outputs</w:t>
      </w:r>
    </w:p>
    <w:p>
      <w:pPr>
        <w:pStyle w:val="ListBullet"/>
        <w:spacing w:after="40"/>
        <w:ind w:left="317" w:hanging="173"/>
        <w:widowControl/>
      </w:pPr>
      <w:r>
        <w:rPr>
          <w:rFonts w:ascii="Arial" w:hAnsi="Arial"/>
        </w:rPr>
        <w:t>Number of trades and active trading dates; long/short and session mix.</w:t>
      </w:r>
    </w:p>
    <w:p>
      <w:pPr>
        <w:pStyle w:val="ListBullet"/>
        <w:spacing w:after="40"/>
        <w:ind w:left="317" w:hanging="173"/>
        <w:widowControl/>
      </w:pPr>
      <w:r>
        <w:rPr>
          <w:rFonts w:ascii="Arial" w:hAnsi="Arial"/>
        </w:rPr>
        <w:t>Net and gross expectancy per trade in R, ticks, and dollars.</w:t>
      </w:r>
    </w:p>
    <w:p>
      <w:pPr>
        <w:pStyle w:val="ListBullet"/>
        <w:spacing w:after="40"/>
        <w:ind w:left="317" w:hanging="173"/>
        <w:widowControl/>
      </w:pPr>
      <w:r>
        <w:rPr>
          <w:rFonts w:ascii="Arial" w:hAnsi="Arial"/>
        </w:rPr>
        <w:t>Win rate, average/median win, average/median loss, profit factor, payoff ratio, and tail quantiles.</w:t>
      </w:r>
    </w:p>
    <w:p>
      <w:pPr>
        <w:pStyle w:val="ListBullet"/>
        <w:spacing w:after="40"/>
        <w:ind w:left="317" w:hanging="173"/>
        <w:widowControl/>
      </w:pPr>
      <w:r>
        <w:rPr>
          <w:rFonts w:ascii="Arial" w:hAnsi="Arial"/>
        </w:rPr>
        <w:t>Equity curve, maximum drawdown, drawdown duration, daily P&amp;L distribution, and time under water.</w:t>
      </w:r>
    </w:p>
    <w:p>
      <w:pPr>
        <w:pStyle w:val="ListBullet"/>
        <w:spacing w:after="40"/>
        <w:ind w:left="317" w:hanging="173"/>
        <w:widowControl/>
      </w:pPr>
      <w:r>
        <w:rPr>
          <w:rFonts w:ascii="Arial" w:hAnsi="Arial"/>
        </w:rPr>
        <w:t>Performance by year, month, session, direction, volatility regime, and strategy version.</w:t>
      </w:r>
    </w:p>
    <w:p>
      <w:pPr>
        <w:pStyle w:val="ListBullet"/>
        <w:spacing w:after="40"/>
        <w:ind w:left="317" w:hanging="173"/>
        <w:widowControl/>
      </w:pPr>
      <w:r>
        <w:rPr>
          <w:rFonts w:ascii="Arial" w:hAnsi="Arial"/>
        </w:rPr>
        <w:t>Turnover, exposure, average holding time, missed/invalid signals, and ambiguous-bar frequency.</w:t>
      </w:r>
    </w:p>
    <w:p>
      <w:pPr>
        <w:pStyle w:val="ListBullet"/>
        <w:spacing w:after="40"/>
        <w:ind w:left="317" w:hanging="173"/>
        <w:widowControl/>
      </w:pPr>
      <w:r>
        <w:rPr>
          <w:rFonts w:ascii="Arial" w:hAnsi="Arial"/>
        </w:rPr>
        <w:t>Parameter and cost sensitivity, bootstrap confidence intervals, and Monte Carlo risk-of-breach estimates.</w:t>
      </w:r>
    </w:p>
    <w:p>
      <w:pPr>
        <w:pStyle w:val="ListBullet"/>
        <w:spacing w:after="40"/>
        <w:ind w:left="317" w:hanging="173"/>
        <w:widowControl/>
      </w:pPr>
      <w:r>
        <w:rPr>
          <w:rFonts w:ascii="Arial" w:hAnsi="Arial"/>
        </w:rPr>
        <w:t>Prop-firm evaluation pass probability, expected time to pass, probability of daily/max-loss breach, and funded-period survival under the selected rule set.</w:t>
      </w:r>
    </w:p>
    <w:p>
      <w:pPr>
        <w:pStyle w:val="Heading1"/>
        <w:pBdr>
          <w:bottom w:val="single" w:sz="8" w:space="3" w:color="B88A2A"/>
        </w:pBdr>
        <w:widowControl/>
      </w:pPr>
      <w:r>
        <w:rPr>
          <w:rFonts w:ascii="Arial" w:hAnsi="Arial"/>
          <w:b/>
          <w:color w:val="172033"/>
          <w:sz w:val="36"/>
        </w:rPr>
        <w:t>13. Prop-Firm Constraint Engine</w:t>
      </w:r>
    </w:p>
    <w:p>
      <w:pPr>
        <w:widowControl/>
      </w:pPr>
      <w:r>
        <w:rPr>
          <w:rFonts w:ascii="Arial" w:hAnsi="Arial"/>
          <w:i w:val="0"/>
        </w:rPr>
        <w:t>Prop firms are the intended initial pathway to operational capital and payouts, but their rules vary and can change. The system must therefore treat the prop firm as a versioned policy layer, not as a fixed assumption embedded in strategy code.</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520"/>
            <w:shd w:fill="172033"/>
            <w:tcMar>
              <w:top w:w="75" w:type="dxa"/>
              <w:start w:w="90" w:type="dxa"/>
              <w:bottom w:w="75" w:type="dxa"/>
              <w:end w:w="90" w:type="dxa"/>
            </w:tcMar>
            <w:vAlign w:val="center"/>
          </w:tcPr>
          <w:p>
            <w:pPr>
              <w:jc w:val="left"/>
            </w:pPr>
            <w:r>
              <w:rPr>
                <w:rFonts w:ascii="Arial" w:hAnsi="Arial"/>
                <w:b/>
                <w:color w:val="FFFFFF"/>
                <w:sz w:val="16"/>
              </w:rPr>
              <w:t>Rule family</w:t>
            </w:r>
          </w:p>
        </w:tc>
        <w:tc>
          <w:tcPr>
            <w:tcW w:type="dxa" w:w="7848"/>
            <w:shd w:fill="172033"/>
            <w:tcMar>
              <w:top w:w="75" w:type="dxa"/>
              <w:start w:w="90" w:type="dxa"/>
              <w:bottom w:w="75" w:type="dxa"/>
              <w:end w:w="90" w:type="dxa"/>
            </w:tcMar>
            <w:vAlign w:val="center"/>
          </w:tcPr>
          <w:p>
            <w:pPr>
              <w:jc w:val="left"/>
            </w:pPr>
            <w:r>
              <w:rPr>
                <w:rFonts w:ascii="Arial" w:hAnsi="Arial"/>
                <w:b/>
                <w:color w:val="FFFFFF"/>
                <w:sz w:val="16"/>
              </w:rPr>
              <w:t>Examples of required parameters</w:t>
            </w:r>
          </w:p>
        </w:tc>
      </w:tr>
      <w:tr>
        <w:trPr>
          <w:cantSplit/>
        </w:trPr>
        <w:tc>
          <w:tcPr>
            <w:tcW w:type="dxa" w:w="2520"/>
            <w:tcMar>
              <w:top w:w="65" w:type="dxa"/>
              <w:start w:w="90" w:type="dxa"/>
              <w:bottom w:w="65" w:type="dxa"/>
              <w:end w:w="90" w:type="dxa"/>
            </w:tcMar>
          </w:tcPr>
          <w:p>
            <w:pPr>
              <w:spacing w:after="0"/>
            </w:pPr>
            <w:r>
              <w:rPr>
                <w:rFonts w:ascii="Arial" w:hAnsi="Arial"/>
                <w:sz w:val="16"/>
              </w:rPr>
              <w:t>Evaluation economics</w:t>
            </w:r>
          </w:p>
        </w:tc>
        <w:tc>
          <w:tcPr>
            <w:tcW w:type="dxa" w:w="7848"/>
            <w:tcMar>
              <w:top w:w="65" w:type="dxa"/>
              <w:start w:w="90" w:type="dxa"/>
              <w:bottom w:w="65" w:type="dxa"/>
              <w:end w:w="90" w:type="dxa"/>
            </w:tcMar>
          </w:tcPr>
          <w:p>
            <w:pPr>
              <w:spacing w:after="0"/>
            </w:pPr>
            <w:r>
              <w:rPr>
                <w:rFonts w:ascii="Arial" w:hAnsi="Arial"/>
                <w:sz w:val="16"/>
              </w:rPr>
              <w:t>Account nominal size, fee, profit target, permitted reset, minimum/maximum evaluation days.</w:t>
            </w:r>
          </w:p>
        </w:tc>
      </w:tr>
      <w:tr>
        <w:trPr>
          <w:cantSplit/>
        </w:trPr>
        <w:tc>
          <w:tcPr>
            <w:tcW w:type="dxa" w:w="2520"/>
            <w:tcMar>
              <w:top w:w="65" w:type="dxa"/>
              <w:start w:w="90" w:type="dxa"/>
              <w:bottom w:w="65" w:type="dxa"/>
              <w:end w:w="90" w:type="dxa"/>
            </w:tcMar>
            <w:shd w:fill="F3F5F7"/>
          </w:tcPr>
          <w:p>
            <w:pPr>
              <w:spacing w:after="0"/>
            </w:pPr>
            <w:r>
              <w:rPr>
                <w:rFonts w:ascii="Arial" w:hAnsi="Arial"/>
                <w:sz w:val="16"/>
              </w:rPr>
              <w:t>Loss constraints</w:t>
            </w:r>
          </w:p>
        </w:tc>
        <w:tc>
          <w:tcPr>
            <w:tcW w:type="dxa" w:w="7848"/>
            <w:tcMar>
              <w:top w:w="65" w:type="dxa"/>
              <w:start w:w="90" w:type="dxa"/>
              <w:bottom w:w="65" w:type="dxa"/>
              <w:end w:w="90" w:type="dxa"/>
            </w:tcMar>
            <w:shd w:fill="F3F5F7"/>
          </w:tcPr>
          <w:p>
            <w:pPr>
              <w:spacing w:after="0"/>
            </w:pPr>
            <w:r>
              <w:rPr>
                <w:rFonts w:ascii="Arial" w:hAnsi="Arial"/>
                <w:sz w:val="16"/>
              </w:rPr>
              <w:t>Daily loss limit, maximum loss, static versus trailing drawdown, intraday versus end-of-day calculation, unrealized P&amp;L treatment.</w:t>
            </w:r>
          </w:p>
        </w:tc>
      </w:tr>
      <w:tr>
        <w:trPr>
          <w:cantSplit/>
        </w:trPr>
        <w:tc>
          <w:tcPr>
            <w:tcW w:type="dxa" w:w="2520"/>
            <w:tcMar>
              <w:top w:w="65" w:type="dxa"/>
              <w:start w:w="90" w:type="dxa"/>
              <w:bottom w:w="65" w:type="dxa"/>
              <w:end w:w="90" w:type="dxa"/>
            </w:tcMar>
          </w:tcPr>
          <w:p>
            <w:pPr>
              <w:spacing w:after="0"/>
            </w:pPr>
            <w:r>
              <w:rPr>
                <w:rFonts w:ascii="Arial" w:hAnsi="Arial"/>
                <w:sz w:val="16"/>
              </w:rPr>
              <w:t>Position constraints</w:t>
            </w:r>
          </w:p>
        </w:tc>
        <w:tc>
          <w:tcPr>
            <w:tcW w:type="dxa" w:w="7848"/>
            <w:tcMar>
              <w:top w:w="65" w:type="dxa"/>
              <w:start w:w="90" w:type="dxa"/>
              <w:bottom w:w="65" w:type="dxa"/>
              <w:end w:w="90" w:type="dxa"/>
            </w:tcMar>
          </w:tcPr>
          <w:p>
            <w:pPr>
              <w:spacing w:after="0"/>
            </w:pPr>
            <w:r>
              <w:rPr>
                <w:rFonts w:ascii="Arial" w:hAnsi="Arial"/>
                <w:sz w:val="16"/>
              </w:rPr>
              <w:t>Maximum contracts, product-specific limits, scaling plan, overnight/holiday restrictions.</w:t>
            </w:r>
          </w:p>
        </w:tc>
      </w:tr>
      <w:tr>
        <w:trPr>
          <w:cantSplit/>
        </w:trPr>
        <w:tc>
          <w:tcPr>
            <w:tcW w:type="dxa" w:w="2520"/>
            <w:tcMar>
              <w:top w:w="65" w:type="dxa"/>
              <w:start w:w="90" w:type="dxa"/>
              <w:bottom w:w="65" w:type="dxa"/>
              <w:end w:w="90" w:type="dxa"/>
            </w:tcMar>
            <w:shd w:fill="F3F5F7"/>
          </w:tcPr>
          <w:p>
            <w:pPr>
              <w:spacing w:after="0"/>
            </w:pPr>
            <w:r>
              <w:rPr>
                <w:rFonts w:ascii="Arial" w:hAnsi="Arial"/>
                <w:sz w:val="16"/>
              </w:rPr>
              <w:t>Consistency rules</w:t>
            </w:r>
          </w:p>
        </w:tc>
        <w:tc>
          <w:tcPr>
            <w:tcW w:type="dxa" w:w="7848"/>
            <w:tcMar>
              <w:top w:w="65" w:type="dxa"/>
              <w:start w:w="90" w:type="dxa"/>
              <w:bottom w:w="65" w:type="dxa"/>
              <w:end w:w="90" w:type="dxa"/>
            </w:tcMar>
            <w:shd w:fill="F3F5F7"/>
          </w:tcPr>
          <w:p>
            <w:pPr>
              <w:spacing w:after="0"/>
            </w:pPr>
            <w:r>
              <w:rPr>
                <w:rFonts w:ascii="Arial" w:hAnsi="Arial"/>
                <w:sz w:val="16"/>
              </w:rPr>
              <w:t>Largest-day share, minimum profitable days, payout consistency, or other concentration limits.</w:t>
            </w:r>
          </w:p>
        </w:tc>
      </w:tr>
      <w:tr>
        <w:trPr>
          <w:cantSplit/>
        </w:trPr>
        <w:tc>
          <w:tcPr>
            <w:tcW w:type="dxa" w:w="2520"/>
            <w:tcMar>
              <w:top w:w="65" w:type="dxa"/>
              <w:start w:w="90" w:type="dxa"/>
              <w:bottom w:w="65" w:type="dxa"/>
              <w:end w:w="90" w:type="dxa"/>
            </w:tcMar>
          </w:tcPr>
          <w:p>
            <w:pPr>
              <w:spacing w:after="0"/>
            </w:pPr>
            <w:r>
              <w:rPr>
                <w:rFonts w:ascii="Arial" w:hAnsi="Arial"/>
                <w:sz w:val="16"/>
              </w:rPr>
              <w:t>Trading restrictions</w:t>
            </w:r>
          </w:p>
        </w:tc>
        <w:tc>
          <w:tcPr>
            <w:tcW w:type="dxa" w:w="7848"/>
            <w:tcMar>
              <w:top w:w="65" w:type="dxa"/>
              <w:start w:w="90" w:type="dxa"/>
              <w:bottom w:w="65" w:type="dxa"/>
              <w:end w:w="90" w:type="dxa"/>
            </w:tcMar>
          </w:tcPr>
          <w:p>
            <w:pPr>
              <w:spacing w:after="0"/>
            </w:pPr>
            <w:r>
              <w:rPr>
                <w:rFonts w:ascii="Arial" w:hAnsi="Arial"/>
                <w:sz w:val="16"/>
              </w:rPr>
              <w:t>News windows, prohibited automation, copy trading, latency/HFT restrictions, holding restrictions, and permitted platforms.</w:t>
            </w:r>
          </w:p>
        </w:tc>
      </w:tr>
      <w:tr>
        <w:trPr>
          <w:cantSplit/>
        </w:trPr>
        <w:tc>
          <w:tcPr>
            <w:tcW w:type="dxa" w:w="2520"/>
            <w:tcMar>
              <w:top w:w="65" w:type="dxa"/>
              <w:start w:w="90" w:type="dxa"/>
              <w:bottom w:w="65" w:type="dxa"/>
              <w:end w:w="90" w:type="dxa"/>
            </w:tcMar>
            <w:shd w:fill="F3F5F7"/>
          </w:tcPr>
          <w:p>
            <w:pPr>
              <w:spacing w:after="0"/>
            </w:pPr>
            <w:r>
              <w:rPr>
                <w:rFonts w:ascii="Arial" w:hAnsi="Arial"/>
                <w:sz w:val="16"/>
              </w:rPr>
              <w:t>Operational rules</w:t>
            </w:r>
          </w:p>
        </w:tc>
        <w:tc>
          <w:tcPr>
            <w:tcW w:type="dxa" w:w="7848"/>
            <w:tcMar>
              <w:top w:w="65" w:type="dxa"/>
              <w:start w:w="90" w:type="dxa"/>
              <w:bottom w:w="65" w:type="dxa"/>
              <w:end w:w="90" w:type="dxa"/>
            </w:tcMar>
            <w:shd w:fill="F3F5F7"/>
          </w:tcPr>
          <w:p>
            <w:pPr>
              <w:spacing w:after="0"/>
            </w:pPr>
            <w:r>
              <w:rPr>
                <w:rFonts w:ascii="Arial" w:hAnsi="Arial"/>
                <w:sz w:val="16"/>
              </w:rPr>
              <w:t>Inactivity, account reset time, platform/gateway, data fees, commissions, payout schedule, and rule effective date.</w:t>
            </w:r>
          </w:p>
        </w:tc>
      </w:tr>
      <w:tr>
        <w:trPr>
          <w:cantSplit/>
        </w:trPr>
        <w:tc>
          <w:tcPr>
            <w:tcW w:type="dxa" w:w="2520"/>
            <w:tcMar>
              <w:top w:w="65" w:type="dxa"/>
              <w:start w:w="90" w:type="dxa"/>
              <w:bottom w:w="65" w:type="dxa"/>
              <w:end w:w="90" w:type="dxa"/>
            </w:tcMar>
          </w:tcPr>
          <w:p>
            <w:pPr>
              <w:spacing w:after="0"/>
            </w:pPr>
            <w:r>
              <w:rPr>
                <w:rFonts w:ascii="Arial" w:hAnsi="Arial"/>
                <w:sz w:val="16"/>
              </w:rPr>
              <w:t>Risk buffers</w:t>
            </w:r>
          </w:p>
        </w:tc>
        <w:tc>
          <w:tcPr>
            <w:tcW w:type="dxa" w:w="7848"/>
            <w:tcMar>
              <w:top w:w="65" w:type="dxa"/>
              <w:start w:w="90" w:type="dxa"/>
              <w:bottom w:w="65" w:type="dxa"/>
              <w:end w:w="90" w:type="dxa"/>
            </w:tcMar>
          </w:tcPr>
          <w:p>
            <w:pPr>
              <w:spacing w:after="0"/>
            </w:pPr>
            <w:r>
              <w:rPr>
                <w:rFonts w:ascii="Arial" w:hAnsi="Arial"/>
                <w:sz w:val="16"/>
              </w:rPr>
              <w:t>Internal limits must be stricter than the firm’s hard limits to reduce accidental breach from slippage, latency, or rule interpretation.</w:t>
            </w:r>
          </w:p>
        </w:tc>
      </w:tr>
    </w:tbl>
    <w:p>
      <w:pPr>
        <w:spacing w:after="0"/>
        <w:widowControl/>
      </w:pPr>
    </w:p>
    <w:p>
      <w:pPr>
        <w:widowControl/>
      </w:pPr>
      <w:r>
        <w:rPr>
          <w:rFonts w:ascii="Arial" w:hAnsi="Arial"/>
          <w:i w:val="0"/>
        </w:rPr>
        <w:t>The selected firm’s current terms must be reverified before implementation and before each deployment. The project will not attempt to bypass, conceal, or exploit prohibited behaviour. Strategy design must comply with the firm’s published automation and trading rules.</w:t>
      </w:r>
    </w:p>
    <w:p>
      <w:pPr>
        <w:pStyle w:val="Heading1"/>
        <w:pBdr>
          <w:bottom w:val="single" w:sz="8" w:space="3" w:color="B88A2A"/>
        </w:pBdr>
        <w:widowControl/>
      </w:pPr>
      <w:r>
        <w:rPr>
          <w:rFonts w:ascii="Arial" w:hAnsi="Arial"/>
          <w:b/>
          <w:color w:val="172033"/>
          <w:sz w:val="36"/>
        </w:rPr>
        <w:t>14. Forward Testing and Rithmic Paper Trading</w:t>
      </w:r>
    </w:p>
    <w:p>
      <w:pPr>
        <w:widowControl/>
      </w:pPr>
      <w:r>
        <w:rPr>
          <w:rFonts w:ascii="Arial" w:hAnsi="Arial"/>
          <w:i w:val="0"/>
        </w:rPr>
        <w:t>Rithmic is the preferred paper-trading environment because its simulator connects to live exchange market data and uses a simulated matching engine with server-side risk controls. This provides a materially stronger forward-test environment than replaying synthetic prices or using delayed data.</w:t>
      </w:r>
    </w:p>
    <w:p>
      <w:pPr>
        <w:widowControl/>
      </w:pPr>
      <w:r>
        <w:rPr>
          <w:rFonts w:ascii="Arial" w:hAnsi="Arial"/>
          <w:i w:val="0"/>
        </w:rPr>
        <w:t>Paper trading still cannot prove live equivalence. It may not perfectly reproduce queue priority, market impact, all rejection paths, real brokerage latency, human operational errors, or the exact fills received in a funded account. Paper results must therefore be treated as a deployment gate, not as a guarantee.</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trPr>
        <w:tc>
          <w:tcPr>
            <w:tcW w:type="dxa" w:w="2232"/>
            <w:shd w:fill="172033"/>
            <w:tcMar>
              <w:top w:w="75" w:type="dxa"/>
              <w:start w:w="90" w:type="dxa"/>
              <w:bottom w:w="75" w:type="dxa"/>
              <w:end w:w="90" w:type="dxa"/>
            </w:tcMar>
            <w:vAlign w:val="center"/>
          </w:tcPr>
          <w:p>
            <w:pPr>
              <w:jc w:val="left"/>
            </w:pPr>
            <w:r>
              <w:rPr>
                <w:rFonts w:ascii="Arial" w:hAnsi="Arial"/>
                <w:b/>
                <w:color w:val="FFFFFF"/>
                <w:sz w:val="16"/>
              </w:rPr>
              <w:t>Forward-test stage</w:t>
            </w:r>
          </w:p>
        </w:tc>
        <w:tc>
          <w:tcPr>
            <w:tcW w:type="dxa" w:w="4752"/>
            <w:shd w:fill="172033"/>
            <w:tcMar>
              <w:top w:w="75" w:type="dxa"/>
              <w:start w:w="90" w:type="dxa"/>
              <w:bottom w:w="75" w:type="dxa"/>
              <w:end w:w="90" w:type="dxa"/>
            </w:tcMar>
            <w:vAlign w:val="center"/>
          </w:tcPr>
          <w:p>
            <w:pPr>
              <w:jc w:val="left"/>
            </w:pPr>
            <w:r>
              <w:rPr>
                <w:rFonts w:ascii="Arial" w:hAnsi="Arial"/>
                <w:b/>
                <w:color w:val="FFFFFF"/>
                <w:sz w:val="16"/>
              </w:rPr>
              <w:t>Purpose</w:t>
            </w:r>
          </w:p>
        </w:tc>
        <w:tc>
          <w:tcPr>
            <w:tcW w:type="dxa" w:w="3384"/>
            <w:shd w:fill="172033"/>
            <w:tcMar>
              <w:top w:w="75" w:type="dxa"/>
              <w:start w:w="90" w:type="dxa"/>
              <w:bottom w:w="75" w:type="dxa"/>
              <w:end w:w="90" w:type="dxa"/>
            </w:tcMar>
            <w:vAlign w:val="center"/>
          </w:tcPr>
          <w:p>
            <w:pPr>
              <w:jc w:val="left"/>
            </w:pPr>
            <w:r>
              <w:rPr>
                <w:rFonts w:ascii="Arial" w:hAnsi="Arial"/>
                <w:b/>
                <w:color w:val="FFFFFF"/>
                <w:sz w:val="16"/>
              </w:rPr>
              <w:t>Exit criteria</w:t>
            </w:r>
          </w:p>
        </w:tc>
      </w:tr>
      <w:tr>
        <w:trPr>
          <w:cantSplit/>
        </w:trPr>
        <w:tc>
          <w:tcPr>
            <w:tcW w:type="dxa" w:w="2232"/>
            <w:tcMar>
              <w:top w:w="65" w:type="dxa"/>
              <w:start w:w="90" w:type="dxa"/>
              <w:bottom w:w="65" w:type="dxa"/>
              <w:end w:w="90" w:type="dxa"/>
            </w:tcMar>
          </w:tcPr>
          <w:p>
            <w:pPr>
              <w:spacing w:after="0"/>
            </w:pPr>
            <w:r>
              <w:rPr>
                <w:rFonts w:ascii="Arial" w:hAnsi="Arial"/>
                <w:sz w:val="15"/>
              </w:rPr>
              <w:t>Shadow mode</w:t>
            </w:r>
          </w:p>
        </w:tc>
        <w:tc>
          <w:tcPr>
            <w:tcW w:type="dxa" w:w="4752"/>
            <w:tcMar>
              <w:top w:w="65" w:type="dxa"/>
              <w:start w:w="90" w:type="dxa"/>
              <w:bottom w:w="65" w:type="dxa"/>
              <w:end w:w="90" w:type="dxa"/>
            </w:tcMar>
          </w:tcPr>
          <w:p>
            <w:pPr>
              <w:spacing w:after="0"/>
            </w:pPr>
            <w:r>
              <w:rPr>
                <w:rFonts w:ascii="Arial" w:hAnsi="Arial"/>
                <w:sz w:val="15"/>
              </w:rPr>
              <w:t>Run signals and risk checks against live data without transmitting orders.</w:t>
            </w:r>
          </w:p>
        </w:tc>
        <w:tc>
          <w:tcPr>
            <w:tcW w:type="dxa" w:w="3384"/>
            <w:tcMar>
              <w:top w:w="65" w:type="dxa"/>
              <w:start w:w="90" w:type="dxa"/>
              <w:bottom w:w="65" w:type="dxa"/>
              <w:end w:w="90" w:type="dxa"/>
            </w:tcMar>
          </w:tcPr>
          <w:p>
            <w:pPr>
              <w:spacing w:after="0"/>
            </w:pPr>
            <w:r>
              <w:rPr>
                <w:rFonts w:ascii="Arial" w:hAnsi="Arial"/>
                <w:sz w:val="15"/>
              </w:rPr>
              <w:t>No stale-data violations, deterministic decisions, complete telemetry, and reconciled theoretical fills.</w:t>
            </w:r>
          </w:p>
        </w:tc>
      </w:tr>
      <w:tr>
        <w:trPr>
          <w:cantSplit/>
        </w:trPr>
        <w:tc>
          <w:tcPr>
            <w:tcW w:type="dxa" w:w="2232"/>
            <w:tcMar>
              <w:top w:w="65" w:type="dxa"/>
              <w:start w:w="90" w:type="dxa"/>
              <w:bottom w:w="65" w:type="dxa"/>
              <w:end w:w="90" w:type="dxa"/>
            </w:tcMar>
            <w:shd w:fill="F3F5F7"/>
          </w:tcPr>
          <w:p>
            <w:pPr>
              <w:spacing w:after="0"/>
            </w:pPr>
            <w:r>
              <w:rPr>
                <w:rFonts w:ascii="Arial" w:hAnsi="Arial"/>
                <w:sz w:val="15"/>
              </w:rPr>
              <w:t>Rithmic simulation</w:t>
            </w:r>
          </w:p>
        </w:tc>
        <w:tc>
          <w:tcPr>
            <w:tcW w:type="dxa" w:w="4752"/>
            <w:tcMar>
              <w:top w:w="65" w:type="dxa"/>
              <w:start w:w="90" w:type="dxa"/>
              <w:bottom w:w="65" w:type="dxa"/>
              <w:end w:w="90" w:type="dxa"/>
            </w:tcMar>
            <w:shd w:fill="F3F5F7"/>
          </w:tcPr>
          <w:p>
            <w:pPr>
              <w:spacing w:after="0"/>
            </w:pPr>
            <w:r>
              <w:rPr>
                <w:rFonts w:ascii="Arial" w:hAnsi="Arial"/>
                <w:sz w:val="15"/>
              </w:rPr>
              <w:t>Submit simulated orders and validate order lifecycle, fill handling, slippage, position state, risk rules, and prop-policy state.</w:t>
            </w:r>
          </w:p>
        </w:tc>
        <w:tc>
          <w:tcPr>
            <w:tcW w:type="dxa" w:w="3384"/>
            <w:tcMar>
              <w:top w:w="65" w:type="dxa"/>
              <w:start w:w="90" w:type="dxa"/>
              <w:bottom w:w="65" w:type="dxa"/>
              <w:end w:w="90" w:type="dxa"/>
            </w:tcMar>
            <w:shd w:fill="F3F5F7"/>
          </w:tcPr>
          <w:p>
            <w:pPr>
              <w:spacing w:after="0"/>
            </w:pPr>
            <w:r>
              <w:rPr>
                <w:rFonts w:ascii="Arial" w:hAnsi="Arial"/>
                <w:sz w:val="15"/>
              </w:rPr>
              <w:t>Frozen strategy, zero unexplained position mismatches, zero hard-rule breaches, stable operations, and adequate sample under predeclared criteria.</w:t>
            </w:r>
          </w:p>
        </w:tc>
      </w:tr>
      <w:tr>
        <w:trPr>
          <w:cantSplit/>
        </w:trPr>
        <w:tc>
          <w:tcPr>
            <w:tcW w:type="dxa" w:w="2232"/>
            <w:tcMar>
              <w:top w:w="65" w:type="dxa"/>
              <w:start w:w="90" w:type="dxa"/>
              <w:bottom w:w="65" w:type="dxa"/>
              <w:end w:w="90" w:type="dxa"/>
            </w:tcMar>
          </w:tcPr>
          <w:p>
            <w:pPr>
              <w:spacing w:after="0"/>
            </w:pPr>
            <w:r>
              <w:rPr>
                <w:rFonts w:ascii="Arial" w:hAnsi="Arial"/>
                <w:sz w:val="15"/>
              </w:rPr>
              <w:t>Prop evaluation — minimum size</w:t>
            </w:r>
          </w:p>
        </w:tc>
        <w:tc>
          <w:tcPr>
            <w:tcW w:type="dxa" w:w="4752"/>
            <w:tcMar>
              <w:top w:w="65" w:type="dxa"/>
              <w:start w:w="90" w:type="dxa"/>
              <w:bottom w:w="65" w:type="dxa"/>
              <w:end w:w="90" w:type="dxa"/>
            </w:tcMar>
          </w:tcPr>
          <w:p>
            <w:pPr>
              <w:spacing w:after="0"/>
            </w:pPr>
            <w:r>
              <w:rPr>
                <w:rFonts w:ascii="Arial" w:hAnsi="Arial"/>
                <w:sz w:val="15"/>
              </w:rPr>
              <w:t>Operate the exact approved configuration under the chosen evaluator’s terms.</w:t>
            </w:r>
          </w:p>
        </w:tc>
        <w:tc>
          <w:tcPr>
            <w:tcW w:type="dxa" w:w="3384"/>
            <w:tcMar>
              <w:top w:w="65" w:type="dxa"/>
              <w:start w:w="90" w:type="dxa"/>
              <w:bottom w:w="65" w:type="dxa"/>
              <w:end w:w="90" w:type="dxa"/>
            </w:tcMar>
          </w:tcPr>
          <w:p>
            <w:pPr>
              <w:spacing w:after="0"/>
            </w:pPr>
            <w:r>
              <w:rPr>
                <w:rFonts w:ascii="Arial" w:hAnsi="Arial"/>
                <w:sz w:val="15"/>
              </w:rPr>
              <w:t>Pass or fail according to the rules without changing the system mid-evaluation. Any material code/rule change restarts validation.</w:t>
            </w:r>
          </w:p>
        </w:tc>
      </w:tr>
      <w:tr>
        <w:trPr>
          <w:cantSplit/>
        </w:trPr>
        <w:tc>
          <w:tcPr>
            <w:tcW w:type="dxa" w:w="2232"/>
            <w:tcMar>
              <w:top w:w="65" w:type="dxa"/>
              <w:start w:w="90" w:type="dxa"/>
              <w:bottom w:w="65" w:type="dxa"/>
              <w:end w:w="90" w:type="dxa"/>
            </w:tcMar>
            <w:shd w:fill="F3F5F7"/>
          </w:tcPr>
          <w:p>
            <w:pPr>
              <w:spacing w:after="0"/>
            </w:pPr>
            <w:r>
              <w:rPr>
                <w:rFonts w:ascii="Arial" w:hAnsi="Arial"/>
                <w:sz w:val="15"/>
              </w:rPr>
              <w:t>Funded account — controlled scale</w:t>
            </w:r>
          </w:p>
        </w:tc>
        <w:tc>
          <w:tcPr>
            <w:tcW w:type="dxa" w:w="4752"/>
            <w:tcMar>
              <w:top w:w="65" w:type="dxa"/>
              <w:start w:w="90" w:type="dxa"/>
              <w:bottom w:w="65" w:type="dxa"/>
              <w:end w:w="90" w:type="dxa"/>
            </w:tcMar>
            <w:shd w:fill="F3F5F7"/>
          </w:tcPr>
          <w:p>
            <w:pPr>
              <w:spacing w:after="0"/>
            </w:pPr>
            <w:r>
              <w:rPr>
                <w:rFonts w:ascii="Arial" w:hAnsi="Arial"/>
                <w:sz w:val="15"/>
              </w:rPr>
              <w:t>Validate real operational and payout behaviour at the minimum contract size.</w:t>
            </w:r>
          </w:p>
        </w:tc>
        <w:tc>
          <w:tcPr>
            <w:tcW w:type="dxa" w:w="3384"/>
            <w:tcMar>
              <w:top w:w="65" w:type="dxa"/>
              <w:start w:w="90" w:type="dxa"/>
              <w:bottom w:w="65" w:type="dxa"/>
              <w:end w:w="90" w:type="dxa"/>
            </w:tcMar>
            <w:shd w:fill="F3F5F7"/>
          </w:tcPr>
          <w:p>
            <w:pPr>
              <w:spacing w:after="0"/>
            </w:pPr>
            <w:r>
              <w:rPr>
                <w:rFonts w:ascii="Arial" w:hAnsi="Arial"/>
                <w:sz w:val="15"/>
              </w:rPr>
              <w:t>Sustained rule compliance, expected versus realized execution within tolerance, and no unresolved safety events.</w:t>
            </w:r>
          </w:p>
        </w:tc>
      </w:tr>
      <w:tr>
        <w:trPr>
          <w:cantSplit/>
        </w:trPr>
        <w:tc>
          <w:tcPr>
            <w:tcW w:type="dxa" w:w="2232"/>
            <w:tcMar>
              <w:top w:w="65" w:type="dxa"/>
              <w:start w:w="90" w:type="dxa"/>
              <w:bottom w:w="65" w:type="dxa"/>
              <w:end w:w="90" w:type="dxa"/>
            </w:tcMar>
          </w:tcPr>
          <w:p>
            <w:pPr>
              <w:spacing w:after="0"/>
            </w:pPr>
            <w:r>
              <w:rPr>
                <w:rFonts w:ascii="Arial" w:hAnsi="Arial"/>
                <w:sz w:val="15"/>
              </w:rPr>
              <w:t>Scale-up</w:t>
            </w:r>
          </w:p>
        </w:tc>
        <w:tc>
          <w:tcPr>
            <w:tcW w:type="dxa" w:w="4752"/>
            <w:tcMar>
              <w:top w:w="65" w:type="dxa"/>
              <w:start w:w="90" w:type="dxa"/>
              <w:bottom w:w="65" w:type="dxa"/>
              <w:end w:w="90" w:type="dxa"/>
            </w:tcMar>
          </w:tcPr>
          <w:p>
            <w:pPr>
              <w:spacing w:after="0"/>
            </w:pPr>
            <w:r>
              <w:rPr>
                <w:rFonts w:ascii="Arial" w:hAnsi="Arial"/>
                <w:sz w:val="15"/>
              </w:rPr>
              <w:t>Increase account count, MGC size, or later GC exposure.</w:t>
            </w:r>
          </w:p>
        </w:tc>
        <w:tc>
          <w:tcPr>
            <w:tcW w:type="dxa" w:w="3384"/>
            <w:tcMar>
              <w:top w:w="65" w:type="dxa"/>
              <w:start w:w="90" w:type="dxa"/>
              <w:bottom w:w="65" w:type="dxa"/>
              <w:end w:w="90" w:type="dxa"/>
            </w:tcMar>
          </w:tcPr>
          <w:p>
            <w:pPr>
              <w:spacing w:after="0"/>
            </w:pPr>
            <w:r>
              <w:rPr>
                <w:rFonts w:ascii="Arial" w:hAnsi="Arial"/>
                <w:sz w:val="15"/>
              </w:rPr>
              <w:t>Separate risk approval based on live evidence, capital, liquidity, and infrastructure capacity.</w:t>
            </w:r>
          </w:p>
        </w:tc>
      </w:tr>
    </w:tbl>
    <w:p>
      <w:pPr>
        <w:spacing w:after="0"/>
        <w:widowControl/>
      </w:pPr>
    </w:p>
    <w:tbl>
      <w:tblPr>
        <w:tblW w:type="auto" w:w="0"/>
        <w:jc w:val="center"/>
        <w:tblLayout w:type="autofit"/>
        <w:tblLook w:firstColumn="1" w:firstRow="1" w:lastColumn="0" w:lastRow="0" w:noHBand="0" w:noVBand="1" w:val="04A0"/>
      </w:tblPr>
      <w:tblGrid>
        <w:gridCol w:w="9994"/>
      </w:tblGrid>
      <w:tr>
        <w:trPr>
          <w:cantSplit/>
        </w:trPr>
        <w:tc>
          <w:tcPr>
            <w:tcW w:type="dxa" w:w="9994"/>
            <w:shd w:fill="F7F0DE"/>
            <w:tcBorders>
              <w:top w:val="single" w:sz="10" w:color="B88A2A"/>
              <w:left w:val="single" w:sz="10" w:color="B88A2A"/>
              <w:bottom w:val="single" w:sz="10" w:color="B88A2A"/>
              <w:right w:val="single" w:sz="10" w:color="B88A2A"/>
            </w:tcBorders>
            <w:tcMar>
              <w:top w:w="100" w:type="dxa"/>
              <w:start w:w="130" w:type="dxa"/>
              <w:bottom w:w="100" w:type="dxa"/>
              <w:end w:w="130" w:type="dxa"/>
            </w:tcMar>
          </w:tcPr>
          <w:p>
            <w:pPr>
              <w:spacing w:after="40"/>
            </w:pPr>
            <w:r>
              <w:rPr>
                <w:rFonts w:ascii="Arial" w:hAnsi="Arial"/>
                <w:b/>
                <w:color w:val="172033"/>
                <w:sz w:val="19"/>
              </w:rPr>
              <w:t>Provisional paper-test sample gate</w:t>
            </w:r>
          </w:p>
          <w:p>
            <w:pPr>
              <w:spacing w:after="0"/>
            </w:pPr>
            <w:r>
              <w:rPr>
                <w:rFonts w:ascii="Arial" w:hAnsi="Arial"/>
                <w:sz w:val="18"/>
              </w:rPr>
              <w:t>Before the first paper campaign, the team will freeze a minimum sample based on strategy frequency. The default proposal is at least 60 trading days and at least 100 executed trades, with longer testing for low-frequency systems. The threshold must be declared before results are observed.</w:t>
            </w:r>
          </w:p>
        </w:tc>
      </w:tr>
    </w:tbl>
    <w:p>
      <w:pPr>
        <w:spacing w:after="0"/>
        <w:widowControl/>
      </w:pPr>
    </w:p>
    <w:p>
      <w:pPr>
        <w:pStyle w:val="Heading1"/>
        <w:pBdr>
          <w:bottom w:val="single" w:sz="8" w:space="3" w:color="B88A2A"/>
        </w:pBdr>
        <w:widowControl/>
      </w:pPr>
      <w:r>
        <w:rPr>
          <w:rFonts w:ascii="Arial" w:hAnsi="Arial"/>
          <w:b/>
          <w:color w:val="172033"/>
          <w:sz w:val="36"/>
        </w:rPr>
        <w:t>15. Live Execution, Risk Controls, and Observability</w:t>
      </w:r>
    </w:p>
    <w:p>
      <w:pPr>
        <w:pStyle w:val="Heading2"/>
        <w:widowControl/>
      </w:pPr>
      <w:r>
        <w:t>15.1 Execution requirements</w:t>
      </w:r>
    </w:p>
    <w:p>
      <w:pPr>
        <w:pStyle w:val="ListBullet"/>
        <w:spacing w:after="40"/>
        <w:ind w:left="317" w:hanging="173"/>
        <w:widowControl/>
      </w:pPr>
      <w:r>
        <w:rPr>
          <w:rFonts w:ascii="Arial" w:hAnsi="Arial"/>
        </w:rPr>
        <w:t>The live system must separate signal generation, order management, risk management, and broker/gateway communication.</w:t>
      </w:r>
    </w:p>
    <w:p>
      <w:pPr>
        <w:pStyle w:val="ListBullet"/>
        <w:spacing w:after="40"/>
        <w:ind w:left="317" w:hanging="173"/>
        <w:widowControl/>
      </w:pPr>
      <w:r>
        <w:rPr>
          <w:rFonts w:ascii="Arial" w:hAnsi="Arial"/>
        </w:rPr>
        <w:t>Every order must have a unique strategy, signal, account, and parent-decision identifier.</w:t>
      </w:r>
    </w:p>
    <w:p>
      <w:pPr>
        <w:pStyle w:val="ListBullet"/>
        <w:spacing w:after="40"/>
        <w:ind w:left="317" w:hanging="173"/>
        <w:widowControl/>
      </w:pPr>
      <w:r>
        <w:rPr>
          <w:rFonts w:ascii="Arial" w:hAnsi="Arial"/>
        </w:rPr>
        <w:t>Acknowledgements, rejections, partial fills, cancels, replaces, and fills must be idempotently processed.</w:t>
      </w:r>
    </w:p>
    <w:p>
      <w:pPr>
        <w:pStyle w:val="ListBullet"/>
        <w:spacing w:after="40"/>
        <w:ind w:left="317" w:hanging="173"/>
        <w:widowControl/>
      </w:pPr>
      <w:r>
        <w:rPr>
          <w:rFonts w:ascii="Arial" w:hAnsi="Arial"/>
        </w:rPr>
        <w:t>Positions must be reconciled against the broker/gateway state; unresolved mismatch forces liquidate-only or shutdown mode.</w:t>
      </w:r>
    </w:p>
    <w:p>
      <w:pPr>
        <w:pStyle w:val="ListBullet"/>
        <w:spacing w:after="40"/>
        <w:ind w:left="317" w:hanging="173"/>
        <w:widowControl/>
      </w:pPr>
      <w:r>
        <w:rPr>
          <w:rFonts w:ascii="Arial" w:hAnsi="Arial"/>
        </w:rPr>
        <w:t>Strategy restarts must recover open orders, positions, daily P&amp;L, and risk state from durable storage.</w:t>
      </w:r>
    </w:p>
    <w:p>
      <w:pPr>
        <w:pStyle w:val="ListBullet"/>
        <w:spacing w:after="40"/>
        <w:ind w:left="317" w:hanging="173"/>
        <w:widowControl/>
      </w:pPr>
      <w:r>
        <w:rPr>
          <w:rFonts w:ascii="Arial" w:hAnsi="Arial"/>
        </w:rPr>
        <w:t>Manual intervention is permitted only through authenticated, logged controls.</w:t>
      </w:r>
    </w:p>
    <w:p>
      <w:pPr>
        <w:pStyle w:val="Heading2"/>
        <w:widowControl/>
      </w:pPr>
      <w:r>
        <w:t>15.2 Mandatory kill switches</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3240"/>
            <w:shd w:fill="172033"/>
            <w:tcMar>
              <w:top w:w="75" w:type="dxa"/>
              <w:start w:w="90" w:type="dxa"/>
              <w:bottom w:w="75" w:type="dxa"/>
              <w:end w:w="90" w:type="dxa"/>
            </w:tcMar>
            <w:vAlign w:val="center"/>
          </w:tcPr>
          <w:p>
            <w:pPr>
              <w:jc w:val="left"/>
            </w:pPr>
            <w:r>
              <w:rPr>
                <w:rFonts w:ascii="Arial" w:hAnsi="Arial"/>
                <w:b/>
                <w:color w:val="FFFFFF"/>
                <w:sz w:val="16"/>
              </w:rPr>
              <w:t>Trigger</w:t>
            </w:r>
          </w:p>
        </w:tc>
        <w:tc>
          <w:tcPr>
            <w:tcW w:type="dxa" w:w="7128"/>
            <w:shd w:fill="172033"/>
            <w:tcMar>
              <w:top w:w="75" w:type="dxa"/>
              <w:start w:w="90" w:type="dxa"/>
              <w:bottom w:w="75" w:type="dxa"/>
              <w:end w:w="90" w:type="dxa"/>
            </w:tcMar>
            <w:vAlign w:val="center"/>
          </w:tcPr>
          <w:p>
            <w:pPr>
              <w:jc w:val="left"/>
            </w:pPr>
            <w:r>
              <w:rPr>
                <w:rFonts w:ascii="Arial" w:hAnsi="Arial"/>
                <w:b/>
                <w:color w:val="FFFFFF"/>
                <w:sz w:val="16"/>
              </w:rPr>
              <w:t>Required response</w:t>
            </w:r>
          </w:p>
        </w:tc>
      </w:tr>
      <w:tr>
        <w:trPr>
          <w:cantSplit/>
        </w:trPr>
        <w:tc>
          <w:tcPr>
            <w:tcW w:type="dxa" w:w="3240"/>
            <w:tcMar>
              <w:top w:w="65" w:type="dxa"/>
              <w:start w:w="90" w:type="dxa"/>
              <w:bottom w:w="65" w:type="dxa"/>
              <w:end w:w="90" w:type="dxa"/>
            </w:tcMar>
          </w:tcPr>
          <w:p>
            <w:pPr>
              <w:spacing w:after="0"/>
            </w:pPr>
            <w:r>
              <w:rPr>
                <w:rFonts w:ascii="Arial" w:hAnsi="Arial"/>
                <w:sz w:val="16"/>
              </w:rPr>
              <w:t>Stale or missing market data</w:t>
            </w:r>
          </w:p>
        </w:tc>
        <w:tc>
          <w:tcPr>
            <w:tcW w:type="dxa" w:w="7128"/>
            <w:tcMar>
              <w:top w:w="65" w:type="dxa"/>
              <w:start w:w="90" w:type="dxa"/>
              <w:bottom w:w="65" w:type="dxa"/>
              <w:end w:w="90" w:type="dxa"/>
            </w:tcMar>
          </w:tcPr>
          <w:p>
            <w:pPr>
              <w:spacing w:after="0"/>
            </w:pPr>
            <w:r>
              <w:rPr>
                <w:rFonts w:ascii="Arial" w:hAnsi="Arial"/>
                <w:sz w:val="16"/>
              </w:rPr>
              <w:t>Block new entries; cancel unsafe working orders; escalate if an open position cannot be managed.</w:t>
            </w:r>
          </w:p>
        </w:tc>
      </w:tr>
      <w:tr>
        <w:trPr>
          <w:cantSplit/>
        </w:trPr>
        <w:tc>
          <w:tcPr>
            <w:tcW w:type="dxa" w:w="3240"/>
            <w:tcMar>
              <w:top w:w="65" w:type="dxa"/>
              <w:start w:w="90" w:type="dxa"/>
              <w:bottom w:w="65" w:type="dxa"/>
              <w:end w:w="90" w:type="dxa"/>
            </w:tcMar>
            <w:shd w:fill="F3F5F7"/>
          </w:tcPr>
          <w:p>
            <w:pPr>
              <w:spacing w:after="0"/>
            </w:pPr>
            <w:r>
              <w:rPr>
                <w:rFonts w:ascii="Arial" w:hAnsi="Arial"/>
                <w:sz w:val="16"/>
              </w:rPr>
              <w:t>Gateway disconnect or degraded order acknowledgements</w:t>
            </w:r>
          </w:p>
        </w:tc>
        <w:tc>
          <w:tcPr>
            <w:tcW w:type="dxa" w:w="7128"/>
            <w:tcMar>
              <w:top w:w="65" w:type="dxa"/>
              <w:start w:w="90" w:type="dxa"/>
              <w:bottom w:w="65" w:type="dxa"/>
              <w:end w:w="90" w:type="dxa"/>
            </w:tcMar>
            <w:shd w:fill="F3F5F7"/>
          </w:tcPr>
          <w:p>
            <w:pPr>
              <w:spacing w:after="0"/>
            </w:pPr>
            <w:r>
              <w:rPr>
                <w:rFonts w:ascii="Arial" w:hAnsi="Arial"/>
                <w:sz w:val="16"/>
              </w:rPr>
              <w:t>Enter safe mode, prevent duplicate orders, reconcile on reconnect.</w:t>
            </w:r>
          </w:p>
        </w:tc>
      </w:tr>
      <w:tr>
        <w:trPr>
          <w:cantSplit/>
        </w:trPr>
        <w:tc>
          <w:tcPr>
            <w:tcW w:type="dxa" w:w="3240"/>
            <w:tcMar>
              <w:top w:w="65" w:type="dxa"/>
              <w:start w:w="90" w:type="dxa"/>
              <w:bottom w:w="65" w:type="dxa"/>
              <w:end w:w="90" w:type="dxa"/>
            </w:tcMar>
          </w:tcPr>
          <w:p>
            <w:pPr>
              <w:spacing w:after="0"/>
            </w:pPr>
            <w:r>
              <w:rPr>
                <w:rFonts w:ascii="Arial" w:hAnsi="Arial"/>
                <w:sz w:val="16"/>
              </w:rPr>
              <w:t>Position mismatch</w:t>
            </w:r>
          </w:p>
        </w:tc>
        <w:tc>
          <w:tcPr>
            <w:tcW w:type="dxa" w:w="7128"/>
            <w:tcMar>
              <w:top w:w="65" w:type="dxa"/>
              <w:start w:w="90" w:type="dxa"/>
              <w:bottom w:w="65" w:type="dxa"/>
              <w:end w:w="90" w:type="dxa"/>
            </w:tcMar>
          </w:tcPr>
          <w:p>
            <w:pPr>
              <w:spacing w:after="0"/>
            </w:pPr>
            <w:r>
              <w:rPr>
                <w:rFonts w:ascii="Arial" w:hAnsi="Arial"/>
                <w:sz w:val="16"/>
              </w:rPr>
              <w:t>Stop strategy, cancel working orders, reconcile, and require human review.</w:t>
            </w:r>
          </w:p>
        </w:tc>
      </w:tr>
      <w:tr>
        <w:trPr>
          <w:cantSplit/>
        </w:trPr>
        <w:tc>
          <w:tcPr>
            <w:tcW w:type="dxa" w:w="3240"/>
            <w:tcMar>
              <w:top w:w="65" w:type="dxa"/>
              <w:start w:w="90" w:type="dxa"/>
              <w:bottom w:w="65" w:type="dxa"/>
              <w:end w:w="90" w:type="dxa"/>
            </w:tcMar>
            <w:shd w:fill="F3F5F7"/>
          </w:tcPr>
          <w:p>
            <w:pPr>
              <w:spacing w:after="0"/>
            </w:pPr>
            <w:r>
              <w:rPr>
                <w:rFonts w:ascii="Arial" w:hAnsi="Arial"/>
                <w:sz w:val="16"/>
              </w:rPr>
              <w:t>Daily internal loss limit reached</w:t>
            </w:r>
          </w:p>
        </w:tc>
        <w:tc>
          <w:tcPr>
            <w:tcW w:type="dxa" w:w="7128"/>
            <w:tcMar>
              <w:top w:w="65" w:type="dxa"/>
              <w:start w:w="90" w:type="dxa"/>
              <w:bottom w:w="65" w:type="dxa"/>
              <w:end w:w="90" w:type="dxa"/>
            </w:tcMar>
            <w:shd w:fill="F3F5F7"/>
          </w:tcPr>
          <w:p>
            <w:pPr>
              <w:spacing w:after="0"/>
            </w:pPr>
            <w:r>
              <w:rPr>
                <w:rFonts w:ascii="Arial" w:hAnsi="Arial"/>
                <w:sz w:val="16"/>
              </w:rPr>
              <w:t>Flatten according to policy and disable trading for the remainder of the session/day.</w:t>
            </w:r>
          </w:p>
        </w:tc>
      </w:tr>
      <w:tr>
        <w:trPr>
          <w:cantSplit/>
        </w:trPr>
        <w:tc>
          <w:tcPr>
            <w:tcW w:type="dxa" w:w="3240"/>
            <w:tcMar>
              <w:top w:w="65" w:type="dxa"/>
              <w:start w:w="90" w:type="dxa"/>
              <w:bottom w:w="65" w:type="dxa"/>
              <w:end w:w="90" w:type="dxa"/>
            </w:tcMar>
          </w:tcPr>
          <w:p>
            <w:pPr>
              <w:spacing w:after="0"/>
            </w:pPr>
            <w:r>
              <w:rPr>
                <w:rFonts w:ascii="Arial" w:hAnsi="Arial"/>
                <w:sz w:val="16"/>
              </w:rPr>
              <w:t>Prop-firm buffer breached</w:t>
            </w:r>
          </w:p>
        </w:tc>
        <w:tc>
          <w:tcPr>
            <w:tcW w:type="dxa" w:w="7128"/>
            <w:tcMar>
              <w:top w:w="65" w:type="dxa"/>
              <w:start w:w="90" w:type="dxa"/>
              <w:bottom w:w="65" w:type="dxa"/>
              <w:end w:w="90" w:type="dxa"/>
            </w:tcMar>
          </w:tcPr>
          <w:p>
            <w:pPr>
              <w:spacing w:after="0"/>
            </w:pPr>
            <w:r>
              <w:rPr>
                <w:rFonts w:ascii="Arial" w:hAnsi="Arial"/>
                <w:sz w:val="16"/>
              </w:rPr>
              <w:t>Stop before the external hard limit; do not rely on the firm’s liquidation system as the primary control.</w:t>
            </w:r>
          </w:p>
        </w:tc>
      </w:tr>
      <w:tr>
        <w:trPr>
          <w:cantSplit/>
        </w:trPr>
        <w:tc>
          <w:tcPr>
            <w:tcW w:type="dxa" w:w="3240"/>
            <w:tcMar>
              <w:top w:w="65" w:type="dxa"/>
              <w:start w:w="90" w:type="dxa"/>
              <w:bottom w:w="65" w:type="dxa"/>
              <w:end w:w="90" w:type="dxa"/>
            </w:tcMar>
            <w:shd w:fill="F3F5F7"/>
          </w:tcPr>
          <w:p>
            <w:pPr>
              <w:spacing w:after="0"/>
            </w:pPr>
            <w:r>
              <w:rPr>
                <w:rFonts w:ascii="Arial" w:hAnsi="Arial"/>
                <w:sz w:val="16"/>
              </w:rPr>
              <w:t>Abnormal slippage or fill quality</w:t>
            </w:r>
          </w:p>
        </w:tc>
        <w:tc>
          <w:tcPr>
            <w:tcW w:type="dxa" w:w="7128"/>
            <w:tcMar>
              <w:top w:w="65" w:type="dxa"/>
              <w:start w:w="90" w:type="dxa"/>
              <w:bottom w:w="65" w:type="dxa"/>
              <w:end w:w="90" w:type="dxa"/>
            </w:tcMar>
            <w:shd w:fill="F3F5F7"/>
          </w:tcPr>
          <w:p>
            <w:pPr>
              <w:spacing w:after="0"/>
            </w:pPr>
            <w:r>
              <w:rPr>
                <w:rFonts w:ascii="Arial" w:hAnsi="Arial"/>
                <w:sz w:val="16"/>
              </w:rPr>
              <w:t>Reduce/disable trading and flag the execution regime for review.</w:t>
            </w:r>
          </w:p>
        </w:tc>
      </w:tr>
      <w:tr>
        <w:trPr>
          <w:cantSplit/>
        </w:trPr>
        <w:tc>
          <w:tcPr>
            <w:tcW w:type="dxa" w:w="3240"/>
            <w:tcMar>
              <w:top w:w="65" w:type="dxa"/>
              <w:start w:w="90" w:type="dxa"/>
              <w:bottom w:w="65" w:type="dxa"/>
              <w:end w:w="90" w:type="dxa"/>
            </w:tcMar>
          </w:tcPr>
          <w:p>
            <w:pPr>
              <w:spacing w:after="0"/>
            </w:pPr>
            <w:r>
              <w:rPr>
                <w:rFonts w:ascii="Arial" w:hAnsi="Arial"/>
                <w:sz w:val="16"/>
              </w:rPr>
              <w:t>Software exception or corrupted state</w:t>
            </w:r>
          </w:p>
        </w:tc>
        <w:tc>
          <w:tcPr>
            <w:tcW w:type="dxa" w:w="7128"/>
            <w:tcMar>
              <w:top w:w="65" w:type="dxa"/>
              <w:start w:w="90" w:type="dxa"/>
              <w:bottom w:w="65" w:type="dxa"/>
              <w:end w:w="90" w:type="dxa"/>
            </w:tcMar>
          </w:tcPr>
          <w:p>
            <w:pPr>
              <w:spacing w:after="0"/>
            </w:pPr>
            <w:r>
              <w:rPr>
                <w:rFonts w:ascii="Arial" w:hAnsi="Arial"/>
                <w:sz w:val="16"/>
              </w:rPr>
              <w:t>Fail closed: no new orders, preserve logs, and require controlled recovery.</w:t>
            </w:r>
          </w:p>
        </w:tc>
      </w:tr>
      <w:tr>
        <w:trPr>
          <w:cantSplit/>
        </w:trPr>
        <w:tc>
          <w:tcPr>
            <w:tcW w:type="dxa" w:w="3240"/>
            <w:tcMar>
              <w:top w:w="65" w:type="dxa"/>
              <w:start w:w="90" w:type="dxa"/>
              <w:bottom w:w="65" w:type="dxa"/>
              <w:end w:w="90" w:type="dxa"/>
            </w:tcMar>
            <w:shd w:fill="F3F5F7"/>
          </w:tcPr>
          <w:p>
            <w:pPr>
              <w:spacing w:after="0"/>
            </w:pPr>
            <w:r>
              <w:rPr>
                <w:rFonts w:ascii="Arial" w:hAnsi="Arial"/>
                <w:sz w:val="16"/>
              </w:rPr>
              <w:t>Manual emergency stop</w:t>
            </w:r>
          </w:p>
        </w:tc>
        <w:tc>
          <w:tcPr>
            <w:tcW w:type="dxa" w:w="7128"/>
            <w:tcMar>
              <w:top w:w="65" w:type="dxa"/>
              <w:start w:w="90" w:type="dxa"/>
              <w:bottom w:w="65" w:type="dxa"/>
              <w:end w:w="90" w:type="dxa"/>
            </w:tcMar>
            <w:shd w:fill="F3F5F7"/>
          </w:tcPr>
          <w:p>
            <w:pPr>
              <w:spacing w:after="0"/>
            </w:pPr>
            <w:r>
              <w:rPr>
                <w:rFonts w:ascii="Arial" w:hAnsi="Arial"/>
                <w:sz w:val="16"/>
              </w:rPr>
              <w:t>Immediate cancel/flatten action according to configured safety policy.</w:t>
            </w:r>
          </w:p>
        </w:tc>
      </w:tr>
    </w:tbl>
    <w:p>
      <w:pPr>
        <w:spacing w:after="0"/>
        <w:widowControl/>
      </w:pPr>
    </w:p>
    <w:p>
      <w:pPr>
        <w:pStyle w:val="Heading1"/>
        <w:pBdr>
          <w:bottom w:val="single" w:sz="8" w:space="3" w:color="B88A2A"/>
        </w:pBdr>
        <w:widowControl/>
      </w:pPr>
      <w:r>
        <w:rPr>
          <w:rFonts w:ascii="Arial" w:hAnsi="Arial"/>
          <w:b/>
          <w:color w:val="172033"/>
          <w:sz w:val="36"/>
        </w:rPr>
        <w:t>16. Non-Functional Requirements</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232"/>
            <w:shd w:fill="172033"/>
            <w:tcMar>
              <w:top w:w="75" w:type="dxa"/>
              <w:start w:w="90" w:type="dxa"/>
              <w:bottom w:w="75" w:type="dxa"/>
              <w:end w:w="90" w:type="dxa"/>
            </w:tcMar>
            <w:vAlign w:val="center"/>
          </w:tcPr>
          <w:p>
            <w:pPr>
              <w:jc w:val="left"/>
            </w:pPr>
            <w:r>
              <w:rPr>
                <w:rFonts w:ascii="Arial" w:hAnsi="Arial"/>
                <w:b/>
                <w:color w:val="FFFFFF"/>
                <w:sz w:val="16"/>
              </w:rPr>
              <w:t>Category</w:t>
            </w:r>
          </w:p>
        </w:tc>
        <w:tc>
          <w:tcPr>
            <w:tcW w:type="dxa" w:w="8136"/>
            <w:shd w:fill="172033"/>
            <w:tcMar>
              <w:top w:w="75" w:type="dxa"/>
              <w:start w:w="90" w:type="dxa"/>
              <w:bottom w:w="75" w:type="dxa"/>
              <w:end w:w="90" w:type="dxa"/>
            </w:tcMar>
            <w:vAlign w:val="center"/>
          </w:tcPr>
          <w:p>
            <w:pPr>
              <w:jc w:val="left"/>
            </w:pPr>
            <w:r>
              <w:rPr>
                <w:rFonts w:ascii="Arial" w:hAnsi="Arial"/>
                <w:b/>
                <w:color w:val="FFFFFF"/>
                <w:sz w:val="16"/>
              </w:rPr>
              <w:t>Requirement</w:t>
            </w:r>
          </w:p>
        </w:tc>
      </w:tr>
      <w:tr>
        <w:trPr>
          <w:cantSplit/>
        </w:trPr>
        <w:tc>
          <w:tcPr>
            <w:tcW w:type="dxa" w:w="2232"/>
            <w:tcMar>
              <w:top w:w="65" w:type="dxa"/>
              <w:start w:w="90" w:type="dxa"/>
              <w:bottom w:w="65" w:type="dxa"/>
              <w:end w:w="90" w:type="dxa"/>
            </w:tcMar>
          </w:tcPr>
          <w:p>
            <w:pPr>
              <w:spacing w:after="0"/>
            </w:pPr>
            <w:r>
              <w:rPr>
                <w:rFonts w:ascii="Arial" w:hAnsi="Arial"/>
                <w:sz w:val="15"/>
              </w:rPr>
              <w:t>Correctness</w:t>
            </w:r>
          </w:p>
        </w:tc>
        <w:tc>
          <w:tcPr>
            <w:tcW w:type="dxa" w:w="8136"/>
            <w:tcMar>
              <w:top w:w="65" w:type="dxa"/>
              <w:start w:w="90" w:type="dxa"/>
              <w:bottom w:w="65" w:type="dxa"/>
              <w:end w:w="90" w:type="dxa"/>
            </w:tcMar>
          </w:tcPr>
          <w:p>
            <w:pPr>
              <w:spacing w:after="0"/>
            </w:pPr>
            <w:r>
              <w:rPr>
                <w:rFonts w:ascii="Arial" w:hAnsi="Arial"/>
                <w:sz w:val="15"/>
              </w:rPr>
              <w:t>Correctness and research validity take priority over speed. Critical calculations require unit tests and targeted manual audits.</w:t>
            </w:r>
          </w:p>
        </w:tc>
      </w:tr>
      <w:tr>
        <w:trPr>
          <w:cantSplit/>
        </w:trPr>
        <w:tc>
          <w:tcPr>
            <w:tcW w:type="dxa" w:w="2232"/>
            <w:tcMar>
              <w:top w:w="65" w:type="dxa"/>
              <w:start w:w="90" w:type="dxa"/>
              <w:bottom w:w="65" w:type="dxa"/>
              <w:end w:w="90" w:type="dxa"/>
            </w:tcMar>
            <w:shd w:fill="F3F5F7"/>
          </w:tcPr>
          <w:p>
            <w:pPr>
              <w:spacing w:after="0"/>
            </w:pPr>
            <w:r>
              <w:rPr>
                <w:rFonts w:ascii="Arial" w:hAnsi="Arial"/>
                <w:sz w:val="15"/>
              </w:rPr>
              <w:t>Reproducibility</w:t>
            </w:r>
          </w:p>
        </w:tc>
        <w:tc>
          <w:tcPr>
            <w:tcW w:type="dxa" w:w="8136"/>
            <w:tcMar>
              <w:top w:w="65" w:type="dxa"/>
              <w:start w:w="90" w:type="dxa"/>
              <w:bottom w:w="65" w:type="dxa"/>
              <w:end w:w="90" w:type="dxa"/>
            </w:tcMar>
            <w:shd w:fill="F3F5F7"/>
          </w:tcPr>
          <w:p>
            <w:pPr>
              <w:spacing w:after="0"/>
            </w:pPr>
            <w:r>
              <w:rPr>
                <w:rFonts w:ascii="Arial" w:hAnsi="Arial"/>
                <w:sz w:val="15"/>
              </w:rPr>
              <w:t>A result must be attributable to a data version, code commit, configuration, environment, random seed, and run timestamp.</w:t>
            </w:r>
          </w:p>
        </w:tc>
      </w:tr>
      <w:tr>
        <w:trPr>
          <w:cantSplit/>
        </w:trPr>
        <w:tc>
          <w:tcPr>
            <w:tcW w:type="dxa" w:w="2232"/>
            <w:tcMar>
              <w:top w:w="65" w:type="dxa"/>
              <w:start w:w="90" w:type="dxa"/>
              <w:bottom w:w="65" w:type="dxa"/>
              <w:end w:w="90" w:type="dxa"/>
            </w:tcMar>
          </w:tcPr>
          <w:p>
            <w:pPr>
              <w:spacing w:after="0"/>
            </w:pPr>
            <w:r>
              <w:rPr>
                <w:rFonts w:ascii="Arial" w:hAnsi="Arial"/>
                <w:sz w:val="15"/>
              </w:rPr>
              <w:t>Performance</w:t>
            </w:r>
          </w:p>
        </w:tc>
        <w:tc>
          <w:tcPr>
            <w:tcW w:type="dxa" w:w="8136"/>
            <w:tcMar>
              <w:top w:w="65" w:type="dxa"/>
              <w:start w:w="90" w:type="dxa"/>
              <w:bottom w:w="65" w:type="dxa"/>
              <w:end w:w="90" w:type="dxa"/>
            </w:tcMar>
          </w:tcPr>
          <w:p>
            <w:pPr>
              <w:spacing w:after="0"/>
            </w:pPr>
            <w:r>
              <w:rPr>
                <w:rFonts w:ascii="Arial" w:hAnsi="Arial"/>
                <w:sz w:val="15"/>
              </w:rPr>
              <w:t>The research stack must handle multi-million-row tables without row-wise Python loops, repeated full scans, avoidable copies, or uncontrolled memory growth.</w:t>
            </w:r>
          </w:p>
        </w:tc>
      </w:tr>
      <w:tr>
        <w:trPr>
          <w:cantSplit/>
        </w:trPr>
        <w:tc>
          <w:tcPr>
            <w:tcW w:type="dxa" w:w="2232"/>
            <w:tcMar>
              <w:top w:w="65" w:type="dxa"/>
              <w:start w:w="90" w:type="dxa"/>
              <w:bottom w:w="65" w:type="dxa"/>
              <w:end w:w="90" w:type="dxa"/>
            </w:tcMar>
            <w:shd w:fill="F3F5F7"/>
          </w:tcPr>
          <w:p>
            <w:pPr>
              <w:spacing w:after="0"/>
            </w:pPr>
            <w:r>
              <w:rPr>
                <w:rFonts w:ascii="Arial" w:hAnsi="Arial"/>
                <w:sz w:val="15"/>
              </w:rPr>
              <w:t>Determinism</w:t>
            </w:r>
          </w:p>
        </w:tc>
        <w:tc>
          <w:tcPr>
            <w:tcW w:type="dxa" w:w="8136"/>
            <w:tcMar>
              <w:top w:w="65" w:type="dxa"/>
              <w:start w:w="90" w:type="dxa"/>
              <w:bottom w:w="65" w:type="dxa"/>
              <w:end w:w="90" w:type="dxa"/>
            </w:tcMar>
            <w:shd w:fill="F3F5F7"/>
          </w:tcPr>
          <w:p>
            <w:pPr>
              <w:spacing w:after="0"/>
            </w:pPr>
            <w:r>
              <w:rPr>
                <w:rFonts w:ascii="Arial" w:hAnsi="Arial"/>
                <w:sz w:val="15"/>
              </w:rPr>
              <w:t>Identical inputs and configuration must produce identical decisions and outputs, except where explicitly randomized with a recorded seed.</w:t>
            </w:r>
          </w:p>
        </w:tc>
      </w:tr>
      <w:tr>
        <w:trPr>
          <w:cantSplit/>
        </w:trPr>
        <w:tc>
          <w:tcPr>
            <w:tcW w:type="dxa" w:w="2232"/>
            <w:tcMar>
              <w:top w:w="65" w:type="dxa"/>
              <w:start w:w="90" w:type="dxa"/>
              <w:bottom w:w="65" w:type="dxa"/>
              <w:end w:w="90" w:type="dxa"/>
            </w:tcMar>
          </w:tcPr>
          <w:p>
            <w:pPr>
              <w:spacing w:after="0"/>
            </w:pPr>
            <w:r>
              <w:rPr>
                <w:rFonts w:ascii="Arial" w:hAnsi="Arial"/>
                <w:sz w:val="15"/>
              </w:rPr>
              <w:t>Modularity</w:t>
            </w:r>
          </w:p>
        </w:tc>
        <w:tc>
          <w:tcPr>
            <w:tcW w:type="dxa" w:w="8136"/>
            <w:tcMar>
              <w:top w:w="65" w:type="dxa"/>
              <w:start w:w="90" w:type="dxa"/>
              <w:bottom w:w="65" w:type="dxa"/>
              <w:end w:w="90" w:type="dxa"/>
            </w:tcMar>
          </w:tcPr>
          <w:p>
            <w:pPr>
              <w:spacing w:after="0"/>
            </w:pPr>
            <w:r>
              <w:rPr>
                <w:rFonts w:ascii="Arial" w:hAnsi="Arial"/>
                <w:sz w:val="15"/>
              </w:rPr>
              <w:t>Feature creation, labels, backtesting, prop policies, execution, and reporting must be separately testable and replaceable.</w:t>
            </w:r>
          </w:p>
        </w:tc>
      </w:tr>
      <w:tr>
        <w:trPr>
          <w:cantSplit/>
        </w:trPr>
        <w:tc>
          <w:tcPr>
            <w:tcW w:type="dxa" w:w="2232"/>
            <w:tcMar>
              <w:top w:w="65" w:type="dxa"/>
              <w:start w:w="90" w:type="dxa"/>
              <w:bottom w:w="65" w:type="dxa"/>
              <w:end w:w="90" w:type="dxa"/>
            </w:tcMar>
            <w:shd w:fill="F3F5F7"/>
          </w:tcPr>
          <w:p>
            <w:pPr>
              <w:spacing w:after="0"/>
            </w:pPr>
            <w:r>
              <w:rPr>
                <w:rFonts w:ascii="Arial" w:hAnsi="Arial"/>
                <w:sz w:val="15"/>
              </w:rPr>
              <w:t>Auditability</w:t>
            </w:r>
          </w:p>
        </w:tc>
        <w:tc>
          <w:tcPr>
            <w:tcW w:type="dxa" w:w="8136"/>
            <w:tcMar>
              <w:top w:w="65" w:type="dxa"/>
              <w:start w:w="90" w:type="dxa"/>
              <w:bottom w:w="65" w:type="dxa"/>
              <w:end w:w="90" w:type="dxa"/>
            </w:tcMar>
            <w:shd w:fill="F3F5F7"/>
          </w:tcPr>
          <w:p>
            <w:pPr>
              <w:spacing w:after="0"/>
            </w:pPr>
            <w:r>
              <w:rPr>
                <w:rFonts w:ascii="Arial" w:hAnsi="Arial"/>
                <w:sz w:val="15"/>
              </w:rPr>
              <w:t>Every live or simulated decision, order, fill, risk action, and manual intervention must be logged with timestamps and identifiers.</w:t>
            </w:r>
          </w:p>
        </w:tc>
      </w:tr>
      <w:tr>
        <w:trPr>
          <w:cantSplit/>
        </w:trPr>
        <w:tc>
          <w:tcPr>
            <w:tcW w:type="dxa" w:w="2232"/>
            <w:tcMar>
              <w:top w:w="65" w:type="dxa"/>
              <w:start w:w="90" w:type="dxa"/>
              <w:bottom w:w="65" w:type="dxa"/>
              <w:end w:w="90" w:type="dxa"/>
            </w:tcMar>
          </w:tcPr>
          <w:p>
            <w:pPr>
              <w:spacing w:after="0"/>
            </w:pPr>
            <w:r>
              <w:rPr>
                <w:rFonts w:ascii="Arial" w:hAnsi="Arial"/>
                <w:sz w:val="15"/>
              </w:rPr>
              <w:t>Reliability</w:t>
            </w:r>
          </w:p>
        </w:tc>
        <w:tc>
          <w:tcPr>
            <w:tcW w:type="dxa" w:w="8136"/>
            <w:tcMar>
              <w:top w:w="65" w:type="dxa"/>
              <w:start w:w="90" w:type="dxa"/>
              <w:bottom w:w="65" w:type="dxa"/>
              <w:end w:w="90" w:type="dxa"/>
            </w:tcMar>
          </w:tcPr>
          <w:p>
            <w:pPr>
              <w:spacing w:after="0"/>
            </w:pPr>
            <w:r>
              <w:rPr>
                <w:rFonts w:ascii="Arial" w:hAnsi="Arial"/>
                <w:sz w:val="15"/>
              </w:rPr>
              <w:t>The execution service must fail closed, recover state safely, and prevent duplicate order submission.</w:t>
            </w:r>
          </w:p>
        </w:tc>
      </w:tr>
      <w:tr>
        <w:trPr>
          <w:cantSplit/>
        </w:trPr>
        <w:tc>
          <w:tcPr>
            <w:tcW w:type="dxa" w:w="2232"/>
            <w:tcMar>
              <w:top w:w="65" w:type="dxa"/>
              <w:start w:w="90" w:type="dxa"/>
              <w:bottom w:w="65" w:type="dxa"/>
              <w:end w:w="90" w:type="dxa"/>
            </w:tcMar>
            <w:shd w:fill="F3F5F7"/>
          </w:tcPr>
          <w:p>
            <w:pPr>
              <w:spacing w:after="0"/>
            </w:pPr>
            <w:r>
              <w:rPr>
                <w:rFonts w:ascii="Arial" w:hAnsi="Arial"/>
                <w:sz w:val="15"/>
              </w:rPr>
              <w:t>Maintainability</w:t>
            </w:r>
          </w:p>
        </w:tc>
        <w:tc>
          <w:tcPr>
            <w:tcW w:type="dxa" w:w="8136"/>
            <w:tcMar>
              <w:top w:w="65" w:type="dxa"/>
              <w:start w:w="90" w:type="dxa"/>
              <w:bottom w:w="65" w:type="dxa"/>
              <w:end w:w="90" w:type="dxa"/>
            </w:tcMar>
            <w:shd w:fill="F3F5F7"/>
          </w:tcPr>
          <w:p>
            <w:pPr>
              <w:spacing w:after="0"/>
            </w:pPr>
            <w:r>
              <w:rPr>
                <w:rFonts w:ascii="Arial" w:hAnsi="Arial"/>
                <w:sz w:val="15"/>
              </w:rPr>
              <w:t>Use clear interfaces, typed configuration, concise documentation, and code reviews. Notebooks should explain research; reusable logic belongs in modules.</w:t>
            </w:r>
          </w:p>
        </w:tc>
      </w:tr>
      <w:tr>
        <w:trPr>
          <w:cantSplit/>
        </w:trPr>
        <w:tc>
          <w:tcPr>
            <w:tcW w:type="dxa" w:w="2232"/>
            <w:tcMar>
              <w:top w:w="65" w:type="dxa"/>
              <w:start w:w="90" w:type="dxa"/>
              <w:bottom w:w="65" w:type="dxa"/>
              <w:end w:w="90" w:type="dxa"/>
            </w:tcMar>
          </w:tcPr>
          <w:p>
            <w:pPr>
              <w:spacing w:after="0"/>
            </w:pPr>
            <w:r>
              <w:rPr>
                <w:rFonts w:ascii="Arial" w:hAnsi="Arial"/>
                <w:sz w:val="15"/>
              </w:rPr>
              <w:t>Security</w:t>
            </w:r>
          </w:p>
        </w:tc>
        <w:tc>
          <w:tcPr>
            <w:tcW w:type="dxa" w:w="8136"/>
            <w:tcMar>
              <w:top w:w="65" w:type="dxa"/>
              <w:start w:w="90" w:type="dxa"/>
              <w:bottom w:w="65" w:type="dxa"/>
              <w:end w:w="90" w:type="dxa"/>
            </w:tcMar>
          </w:tcPr>
          <w:p>
            <w:pPr>
              <w:spacing w:after="0"/>
            </w:pPr>
            <w:r>
              <w:rPr>
                <w:rFonts w:ascii="Arial" w:hAnsi="Arial"/>
                <w:sz w:val="15"/>
              </w:rPr>
              <w:t>Secrets must not be committed. Credentials use environment variables or a secure secret store. Access follows least privilege.</w:t>
            </w:r>
          </w:p>
        </w:tc>
      </w:tr>
      <w:tr>
        <w:trPr>
          <w:cantSplit/>
        </w:trPr>
        <w:tc>
          <w:tcPr>
            <w:tcW w:type="dxa" w:w="2232"/>
            <w:tcMar>
              <w:top w:w="65" w:type="dxa"/>
              <w:start w:w="90" w:type="dxa"/>
              <w:bottom w:w="65" w:type="dxa"/>
              <w:end w:w="90" w:type="dxa"/>
            </w:tcMar>
            <w:shd w:fill="F3F5F7"/>
          </w:tcPr>
          <w:p>
            <w:pPr>
              <w:spacing w:after="0"/>
            </w:pPr>
            <w:r>
              <w:rPr>
                <w:rFonts w:ascii="Arial" w:hAnsi="Arial"/>
                <w:sz w:val="15"/>
              </w:rPr>
              <w:t>Portability</w:t>
            </w:r>
          </w:p>
        </w:tc>
        <w:tc>
          <w:tcPr>
            <w:tcW w:type="dxa" w:w="8136"/>
            <w:tcMar>
              <w:top w:w="65" w:type="dxa"/>
              <w:start w:w="90" w:type="dxa"/>
              <w:bottom w:w="65" w:type="dxa"/>
              <w:end w:w="90" w:type="dxa"/>
            </w:tcMar>
            <w:shd w:fill="F3F5F7"/>
          </w:tcPr>
          <w:p>
            <w:pPr>
              <w:spacing w:after="0"/>
            </w:pPr>
            <w:r>
              <w:rPr>
                <w:rFonts w:ascii="Arial" w:hAnsi="Arial"/>
                <w:sz w:val="15"/>
              </w:rPr>
              <w:t>Research runs must use project-root-relative paths. Environment dependencies must be captured in a versioned manifest/lock file.</w:t>
            </w:r>
          </w:p>
        </w:tc>
      </w:tr>
      <w:tr>
        <w:trPr>
          <w:cantSplit/>
        </w:trPr>
        <w:tc>
          <w:tcPr>
            <w:tcW w:type="dxa" w:w="2232"/>
            <w:tcMar>
              <w:top w:w="65" w:type="dxa"/>
              <w:start w:w="90" w:type="dxa"/>
              <w:bottom w:w="65" w:type="dxa"/>
              <w:end w:w="90" w:type="dxa"/>
            </w:tcMar>
          </w:tcPr>
          <w:p>
            <w:pPr>
              <w:spacing w:after="0"/>
            </w:pPr>
            <w:r>
              <w:rPr>
                <w:rFonts w:ascii="Arial" w:hAnsi="Arial"/>
                <w:sz w:val="15"/>
              </w:rPr>
              <w:t>Testing</w:t>
            </w:r>
          </w:p>
        </w:tc>
        <w:tc>
          <w:tcPr>
            <w:tcW w:type="dxa" w:w="8136"/>
            <w:tcMar>
              <w:top w:w="65" w:type="dxa"/>
              <w:start w:w="90" w:type="dxa"/>
              <w:bottom w:w="65" w:type="dxa"/>
              <w:end w:w="90" w:type="dxa"/>
            </w:tcMar>
          </w:tcPr>
          <w:p>
            <w:pPr>
              <w:spacing w:after="0"/>
            </w:pPr>
            <w:r>
              <w:rPr>
                <w:rFonts w:ascii="Arial" w:hAnsi="Arial"/>
                <w:sz w:val="15"/>
              </w:rPr>
              <w:t>The existing 94 tests must remain green; new critical functionality requires unit, integration, and end-to-end tests.</w:t>
            </w:r>
          </w:p>
        </w:tc>
      </w:tr>
      <w:tr>
        <w:trPr>
          <w:cantSplit/>
        </w:trPr>
        <w:tc>
          <w:tcPr>
            <w:tcW w:type="dxa" w:w="2232"/>
            <w:tcMar>
              <w:top w:w="65" w:type="dxa"/>
              <w:start w:w="90" w:type="dxa"/>
              <w:bottom w:w="65" w:type="dxa"/>
              <w:end w:w="90" w:type="dxa"/>
            </w:tcMar>
            <w:shd w:fill="F3F5F7"/>
          </w:tcPr>
          <w:p>
            <w:pPr>
              <w:spacing w:after="0"/>
            </w:pPr>
            <w:r>
              <w:rPr>
                <w:rFonts w:ascii="Arial" w:hAnsi="Arial"/>
                <w:sz w:val="15"/>
              </w:rPr>
              <w:t>Documentation</w:t>
            </w:r>
          </w:p>
        </w:tc>
        <w:tc>
          <w:tcPr>
            <w:tcW w:type="dxa" w:w="8136"/>
            <w:tcMar>
              <w:top w:w="65" w:type="dxa"/>
              <w:start w:w="90" w:type="dxa"/>
              <w:bottom w:w="65" w:type="dxa"/>
              <w:end w:w="90" w:type="dxa"/>
            </w:tcMar>
            <w:shd w:fill="F3F5F7"/>
          </w:tcPr>
          <w:p>
            <w:pPr>
              <w:spacing w:after="0"/>
            </w:pPr>
            <w:r>
              <w:rPr>
                <w:rFonts w:ascii="Arial" w:hAnsi="Arial"/>
                <w:sz w:val="15"/>
              </w:rPr>
              <w:t>Every major milestone updates the relevant context report, README/status, strategy specification, and run instructions.</w:t>
            </w:r>
          </w:p>
        </w:tc>
      </w:tr>
    </w:tbl>
    <w:p>
      <w:pPr>
        <w:spacing w:after="0"/>
        <w:widowControl/>
      </w:pPr>
    </w:p>
    <w:p>
      <w:pPr>
        <w:pStyle w:val="Heading1"/>
        <w:pBdr>
          <w:bottom w:val="single" w:sz="8" w:space="3" w:color="B88A2A"/>
        </w:pBdr>
        <w:widowControl/>
      </w:pPr>
      <w:r>
        <w:rPr>
          <w:rFonts w:ascii="Arial" w:hAnsi="Arial"/>
          <w:b/>
          <w:color w:val="172033"/>
          <w:sz w:val="36"/>
        </w:rPr>
        <w:t>17. Collaboration and Engineering Workflow</w:t>
      </w:r>
    </w:p>
    <w:p>
      <w:pPr>
        <w:spacing w:after="40"/>
        <w:ind w:left="346" w:hanging="259"/>
        <w:widowControl/>
      </w:pPr>
      <w:r>
        <w:rPr>
          <w:rFonts w:ascii="Arial" w:hAnsi="Arial"/>
          <w:b/>
          <w:color w:val="172033"/>
        </w:rPr>
        <w:t xml:space="preserve">1. </w:t>
      </w:r>
      <w:r>
        <w:rPr>
          <w:rFonts w:ascii="Arial" w:hAnsi="Arial"/>
        </w:rPr>
        <w:t>Pull the latest main branch before beginning work.</w:t>
      </w:r>
    </w:p>
    <w:p>
      <w:pPr>
        <w:spacing w:after="40"/>
        <w:ind w:left="346" w:hanging="259"/>
        <w:widowControl/>
      </w:pPr>
      <w:r>
        <w:rPr>
          <w:rFonts w:ascii="Arial" w:hAnsi="Arial"/>
          <w:b/>
          <w:color w:val="172033"/>
        </w:rPr>
        <w:t xml:space="preserve">2. </w:t>
      </w:r>
      <w:r>
        <w:rPr>
          <w:rFonts w:ascii="Arial" w:hAnsi="Arial"/>
        </w:rPr>
        <w:t>Create a short-lived branch for one coherent research or engineering milestone.</w:t>
      </w:r>
    </w:p>
    <w:p>
      <w:pPr>
        <w:spacing w:after="40"/>
        <w:ind w:left="346" w:hanging="259"/>
        <w:widowControl/>
      </w:pPr>
      <w:r>
        <w:rPr>
          <w:rFonts w:ascii="Arial" w:hAnsi="Arial"/>
          <w:b/>
          <w:color w:val="172033"/>
        </w:rPr>
        <w:t xml:space="preserve">3. </w:t>
      </w:r>
      <w:r>
        <w:rPr>
          <w:rFonts w:ascii="Arial" w:hAnsi="Arial"/>
        </w:rPr>
        <w:t>State the research question, definition, expected artifacts, and acceptance checks before implementation.</w:t>
      </w:r>
    </w:p>
    <w:p>
      <w:pPr>
        <w:spacing w:after="40"/>
        <w:ind w:left="346" w:hanging="259"/>
        <w:widowControl/>
      </w:pPr>
      <w:r>
        <w:rPr>
          <w:rFonts w:ascii="Arial" w:hAnsi="Arial"/>
          <w:b/>
          <w:color w:val="172033"/>
        </w:rPr>
        <w:t xml:space="preserve">4. </w:t>
      </w:r>
      <w:r>
        <w:rPr>
          <w:rFonts w:ascii="Arial" w:hAnsi="Arial"/>
        </w:rPr>
        <w:t>Keep changes scoped; do not stage unrelated files or use broad add commands in a mixed working tree.</w:t>
      </w:r>
    </w:p>
    <w:p>
      <w:pPr>
        <w:spacing w:after="40"/>
        <w:ind w:left="346" w:hanging="259"/>
        <w:widowControl/>
      </w:pPr>
      <w:r>
        <w:rPr>
          <w:rFonts w:ascii="Arial" w:hAnsi="Arial"/>
          <w:b/>
          <w:color w:val="172033"/>
        </w:rPr>
        <w:t xml:space="preserve">5. </w:t>
      </w:r>
      <w:r>
        <w:rPr>
          <w:rFonts w:ascii="Arial" w:hAnsi="Arial"/>
        </w:rPr>
        <w:t>Run the complete automated test suite and any milestone-specific full-run validation.</w:t>
      </w:r>
    </w:p>
    <w:p>
      <w:pPr>
        <w:spacing w:after="40"/>
        <w:ind w:left="346" w:hanging="259"/>
        <w:widowControl/>
      </w:pPr>
      <w:r>
        <w:rPr>
          <w:rFonts w:ascii="Arial" w:hAnsi="Arial"/>
          <w:b/>
          <w:color w:val="172033"/>
        </w:rPr>
        <w:t xml:space="preserve">6. </w:t>
      </w:r>
      <w:r>
        <w:rPr>
          <w:rFonts w:ascii="Arial" w:hAnsi="Arial"/>
        </w:rPr>
        <w:t>Review schemas, row counts, missingness, date coverage, outputs, memory use, and research conclusions.</w:t>
      </w:r>
    </w:p>
    <w:p>
      <w:pPr>
        <w:spacing w:after="40"/>
        <w:ind w:left="346" w:hanging="259"/>
        <w:widowControl/>
      </w:pPr>
      <w:r>
        <w:rPr>
          <w:rFonts w:ascii="Arial" w:hAnsi="Arial"/>
          <w:b/>
          <w:color w:val="172033"/>
        </w:rPr>
        <w:t xml:space="preserve">7. </w:t>
      </w:r>
      <w:r>
        <w:rPr>
          <w:rFonts w:ascii="Arial" w:hAnsi="Arial"/>
        </w:rPr>
        <w:t>Update the relevant context report and README when the project state changes.</w:t>
      </w:r>
    </w:p>
    <w:p>
      <w:pPr>
        <w:spacing w:after="40"/>
        <w:ind w:left="346" w:hanging="259"/>
        <w:widowControl/>
      </w:pPr>
      <w:r>
        <w:rPr>
          <w:rFonts w:ascii="Arial" w:hAnsi="Arial"/>
          <w:b/>
          <w:color w:val="172033"/>
        </w:rPr>
        <w:t xml:space="preserve">8. </w:t>
      </w:r>
      <w:r>
        <w:rPr>
          <w:rFonts w:ascii="Arial" w:hAnsi="Arial"/>
        </w:rPr>
        <w:t>Open a pull request that explains the hypothesis, implementation, outputs, checks, limitations, and decisions.</w:t>
      </w:r>
    </w:p>
    <w:p>
      <w:pPr>
        <w:spacing w:after="40"/>
        <w:ind w:left="346" w:hanging="259"/>
        <w:widowControl/>
      </w:pPr>
      <w:r>
        <w:rPr>
          <w:rFonts w:ascii="Arial" w:hAnsi="Arial"/>
          <w:b/>
          <w:color w:val="172033"/>
        </w:rPr>
        <w:t xml:space="preserve">9. </w:t>
      </w:r>
      <w:r>
        <w:rPr>
          <w:rFonts w:ascii="Arial" w:hAnsi="Arial"/>
        </w:rPr>
        <w:t>Require review by at least one partner who did not author the change before merging.</w:t>
      </w:r>
    </w:p>
    <w:p>
      <w:pPr>
        <w:spacing w:after="40"/>
        <w:ind w:left="346" w:hanging="259"/>
        <w:widowControl/>
      </w:pPr>
      <w:r>
        <w:rPr>
          <w:rFonts w:ascii="Arial" w:hAnsi="Arial"/>
          <w:b/>
          <w:color w:val="172033"/>
        </w:rPr>
        <w:t xml:space="preserve">10. </w:t>
      </w:r>
      <w:r>
        <w:rPr>
          <w:rFonts w:ascii="Arial" w:hAnsi="Arial"/>
        </w:rPr>
        <w:t>Do not commit raw/processed market data, secrets, virtual environments, caches, generated bulk outputs, or local logs.</w:t>
      </w:r>
    </w:p>
    <w:p>
      <w:pPr>
        <w:pStyle w:val="Heading2"/>
        <w:widowControl/>
      </w:pPr>
      <w:r>
        <w:t>Definition of done for a milestone</w:t>
      </w:r>
    </w:p>
    <w:p>
      <w:pPr>
        <w:pStyle w:val="ListBullet"/>
        <w:spacing w:after="40"/>
        <w:ind w:left="317" w:hanging="173"/>
        <w:widowControl/>
      </w:pPr>
      <w:r>
        <w:rPr>
          <w:rFonts w:ascii="Arial" w:hAnsi="Arial"/>
        </w:rPr>
        <w:t>The intended research or engineering contract is implemented.</w:t>
      </w:r>
    </w:p>
    <w:p>
      <w:pPr>
        <w:pStyle w:val="ListBullet"/>
        <w:spacing w:after="40"/>
        <w:ind w:left="317" w:hanging="173"/>
        <w:widowControl/>
      </w:pPr>
      <w:r>
        <w:rPr>
          <w:rFonts w:ascii="Arial" w:hAnsi="Arial"/>
        </w:rPr>
        <w:t>Tests pass and the relevant notebook/script executes without unexplained errors.</w:t>
      </w:r>
    </w:p>
    <w:p>
      <w:pPr>
        <w:pStyle w:val="ListBullet"/>
        <w:spacing w:after="40"/>
        <w:ind w:left="317" w:hanging="173"/>
        <w:widowControl/>
      </w:pPr>
      <w:r>
        <w:rPr>
          <w:rFonts w:ascii="Arial" w:hAnsi="Arial"/>
        </w:rPr>
        <w:t>Outputs are saved in the agreed locations and are reload-validated where applicable.</w:t>
      </w:r>
    </w:p>
    <w:p>
      <w:pPr>
        <w:pStyle w:val="ListBullet"/>
        <w:spacing w:after="40"/>
        <w:ind w:left="317" w:hanging="173"/>
        <w:widowControl/>
      </w:pPr>
      <w:r>
        <w:rPr>
          <w:rFonts w:ascii="Arial" w:hAnsi="Arial"/>
        </w:rPr>
        <w:t>Performance and memory behaviour are acceptable for the target data size.</w:t>
      </w:r>
    </w:p>
    <w:p>
      <w:pPr>
        <w:pStyle w:val="ListBullet"/>
        <w:spacing w:after="40"/>
        <w:ind w:left="317" w:hanging="173"/>
        <w:widowControl/>
      </w:pPr>
      <w:r>
        <w:rPr>
          <w:rFonts w:ascii="Arial" w:hAnsi="Arial"/>
        </w:rPr>
        <w:t>No lookahead, data-boundary, or strategy-rule violations are found.</w:t>
      </w:r>
    </w:p>
    <w:p>
      <w:pPr>
        <w:pStyle w:val="ListBullet"/>
        <w:spacing w:after="40"/>
        <w:ind w:left="317" w:hanging="173"/>
        <w:widowControl/>
      </w:pPr>
      <w:r>
        <w:rPr>
          <w:rFonts w:ascii="Arial" w:hAnsi="Arial"/>
        </w:rPr>
        <w:t>Documentation and project status are updated.</w:t>
      </w:r>
    </w:p>
    <w:p>
      <w:pPr>
        <w:pStyle w:val="ListBullet"/>
        <w:spacing w:after="40"/>
        <w:ind w:left="317" w:hanging="173"/>
        <w:widowControl/>
      </w:pPr>
      <w:r>
        <w:rPr>
          <w:rFonts w:ascii="Arial" w:hAnsi="Arial"/>
        </w:rPr>
        <w:t>A reviewer can reproduce the result from the committed code and authorized data.</w:t>
      </w:r>
    </w:p>
    <w:p>
      <w:pPr>
        <w:pStyle w:val="Heading1"/>
        <w:pBdr>
          <w:bottom w:val="single" w:sz="8" w:space="3" w:color="B88A2A"/>
        </w:pBdr>
        <w:widowControl/>
      </w:pPr>
      <w:r>
        <w:rPr>
          <w:rFonts w:ascii="Arial" w:hAnsi="Arial"/>
          <w:b/>
          <w:color w:val="172033"/>
          <w:sz w:val="36"/>
        </w:rPr>
        <w:t>18. Phased Roadmap</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trPr>
        <w:tc>
          <w:tcPr>
            <w:tcW w:type="dxa" w:w="2232"/>
            <w:shd w:fill="172033"/>
            <w:tcMar>
              <w:top w:w="75" w:type="dxa"/>
              <w:start w:w="90" w:type="dxa"/>
              <w:bottom w:w="75" w:type="dxa"/>
              <w:end w:w="90" w:type="dxa"/>
            </w:tcMar>
            <w:vAlign w:val="center"/>
          </w:tcPr>
          <w:p>
            <w:pPr>
              <w:jc w:val="left"/>
            </w:pPr>
            <w:r>
              <w:rPr>
                <w:rFonts w:ascii="Arial" w:hAnsi="Arial"/>
                <w:b/>
                <w:color w:val="FFFFFF"/>
                <w:sz w:val="16"/>
              </w:rPr>
              <w:t>Phase</w:t>
            </w:r>
          </w:p>
        </w:tc>
        <w:tc>
          <w:tcPr>
            <w:tcW w:type="dxa" w:w="5256"/>
            <w:shd w:fill="172033"/>
            <w:tcMar>
              <w:top w:w="75" w:type="dxa"/>
              <w:start w:w="90" w:type="dxa"/>
              <w:bottom w:w="75" w:type="dxa"/>
              <w:end w:w="90" w:type="dxa"/>
            </w:tcMar>
            <w:vAlign w:val="center"/>
          </w:tcPr>
          <w:p>
            <w:pPr>
              <w:jc w:val="left"/>
            </w:pPr>
            <w:r>
              <w:rPr>
                <w:rFonts w:ascii="Arial" w:hAnsi="Arial"/>
                <w:b/>
                <w:color w:val="FFFFFF"/>
                <w:sz w:val="16"/>
              </w:rPr>
              <w:t>Scope</w:t>
            </w:r>
          </w:p>
        </w:tc>
        <w:tc>
          <w:tcPr>
            <w:tcW w:type="dxa" w:w="2880"/>
            <w:shd w:fill="172033"/>
            <w:tcMar>
              <w:top w:w="75" w:type="dxa"/>
              <w:start w:w="90" w:type="dxa"/>
              <w:bottom w:w="75" w:type="dxa"/>
              <w:end w:w="90" w:type="dxa"/>
            </w:tcMar>
            <w:vAlign w:val="center"/>
          </w:tcPr>
          <w:p>
            <w:pPr>
              <w:jc w:val="left"/>
            </w:pPr>
            <w:r>
              <w:rPr>
                <w:rFonts w:ascii="Arial" w:hAnsi="Arial"/>
                <w:b/>
                <w:color w:val="FFFFFF"/>
                <w:sz w:val="16"/>
              </w:rPr>
              <w:t>Primary deliverable / gate</w:t>
            </w:r>
          </w:p>
        </w:tc>
      </w:tr>
      <w:tr>
        <w:trPr>
          <w:cantSplit/>
        </w:trPr>
        <w:tc>
          <w:tcPr>
            <w:tcW w:type="dxa" w:w="2232"/>
            <w:tcMar>
              <w:top w:w="65" w:type="dxa"/>
              <w:start w:w="90" w:type="dxa"/>
              <w:bottom w:w="65" w:type="dxa"/>
              <w:end w:w="90" w:type="dxa"/>
            </w:tcMar>
          </w:tcPr>
          <w:p>
            <w:pPr>
              <w:spacing w:after="0"/>
            </w:pPr>
            <w:r>
              <w:rPr>
                <w:rFonts w:ascii="Arial" w:hAnsi="Arial"/>
                <w:sz w:val="14"/>
              </w:rPr>
              <w:t>Phase 0 — Partner onboarding</w:t>
            </w:r>
          </w:p>
        </w:tc>
        <w:tc>
          <w:tcPr>
            <w:tcW w:type="dxa" w:w="5256"/>
            <w:tcMar>
              <w:top w:w="65" w:type="dxa"/>
              <w:start w:w="90" w:type="dxa"/>
              <w:bottom w:w="65" w:type="dxa"/>
              <w:end w:w="90" w:type="dxa"/>
            </w:tcMar>
          </w:tcPr>
          <w:p>
            <w:pPr>
              <w:spacing w:after="0"/>
            </w:pPr>
            <w:r>
              <w:rPr>
                <w:rFonts w:ascii="Arial" w:hAnsi="Arial"/>
                <w:sz w:val="14"/>
              </w:rPr>
              <w:t>Repository access, environment, data access, documentation reading order, roles, branch/PR workflow, and security.</w:t>
            </w:r>
          </w:p>
        </w:tc>
        <w:tc>
          <w:tcPr>
            <w:tcW w:type="dxa" w:w="2880"/>
            <w:tcMar>
              <w:top w:w="65" w:type="dxa"/>
              <w:start w:w="90" w:type="dxa"/>
              <w:bottom w:w="65" w:type="dxa"/>
              <w:end w:w="90" w:type="dxa"/>
            </w:tcMar>
          </w:tcPr>
          <w:p>
            <w:pPr>
              <w:spacing w:after="0"/>
            </w:pPr>
            <w:r>
              <w:rPr>
                <w:rFonts w:ascii="Arial" w:hAnsi="Arial"/>
                <w:sz w:val="14"/>
              </w:rPr>
              <w:t>Each partner can run tests and reproduce a trusted project artifact.</w:t>
            </w:r>
          </w:p>
        </w:tc>
      </w:tr>
      <w:tr>
        <w:trPr>
          <w:cantSplit/>
        </w:trPr>
        <w:tc>
          <w:tcPr>
            <w:tcW w:type="dxa" w:w="2232"/>
            <w:tcMar>
              <w:top w:w="65" w:type="dxa"/>
              <w:start w:w="90" w:type="dxa"/>
              <w:bottom w:w="65" w:type="dxa"/>
              <w:end w:w="90" w:type="dxa"/>
            </w:tcMar>
            <w:shd w:fill="F3F5F7"/>
          </w:tcPr>
          <w:p>
            <w:pPr>
              <w:spacing w:after="0"/>
            </w:pPr>
            <w:r>
              <w:rPr>
                <w:rFonts w:ascii="Arial" w:hAnsi="Arial"/>
                <w:sz w:val="14"/>
              </w:rPr>
              <w:t>Phase 1 — Complete independent feature evaluation</w:t>
            </w:r>
          </w:p>
        </w:tc>
        <w:tc>
          <w:tcPr>
            <w:tcW w:type="dxa" w:w="5256"/>
            <w:tcMar>
              <w:top w:w="65" w:type="dxa"/>
              <w:start w:w="90" w:type="dxa"/>
              <w:bottom w:w="65" w:type="dxa"/>
              <w:end w:w="90" w:type="dxa"/>
            </w:tcMar>
            <w:shd w:fill="F3F5F7"/>
          </w:tcPr>
          <w:p>
            <w:pPr>
              <w:spacing w:after="0"/>
            </w:pPr>
            <w:r>
              <w:rPr>
                <w:rFonts w:ascii="Arial" w:hAnsi="Arial"/>
                <w:sz w:val="14"/>
              </w:rPr>
              <w:t>Univariate screening, stability, redundancy, incremental value, and small multivariate benchmarks for Branch B.</w:t>
            </w:r>
          </w:p>
        </w:tc>
        <w:tc>
          <w:tcPr>
            <w:tcW w:type="dxa" w:w="2880"/>
            <w:tcMar>
              <w:top w:w="65" w:type="dxa"/>
              <w:start w:w="90" w:type="dxa"/>
              <w:bottom w:w="65" w:type="dxa"/>
              <w:end w:w="90" w:type="dxa"/>
            </w:tcMar>
            <w:shd w:fill="F3F5F7"/>
          </w:tcPr>
          <w:p>
            <w:pPr>
              <w:spacing w:after="0"/>
            </w:pPr>
            <w:r>
              <w:rPr>
                <w:rFonts w:ascii="Arial" w:hAnsi="Arial"/>
                <w:sz w:val="14"/>
              </w:rPr>
              <w:t>Frozen shortlist or documented rejection; no final-test tuning.</w:t>
            </w:r>
          </w:p>
        </w:tc>
      </w:tr>
      <w:tr>
        <w:trPr>
          <w:cantSplit/>
        </w:trPr>
        <w:tc>
          <w:tcPr>
            <w:tcW w:type="dxa" w:w="2232"/>
            <w:tcMar>
              <w:top w:w="65" w:type="dxa"/>
              <w:start w:w="90" w:type="dxa"/>
              <w:bottom w:w="65" w:type="dxa"/>
              <w:end w:w="90" w:type="dxa"/>
            </w:tcMar>
          </w:tcPr>
          <w:p>
            <w:pPr>
              <w:spacing w:after="0"/>
            </w:pPr>
            <w:r>
              <w:rPr>
                <w:rFonts w:ascii="Arial" w:hAnsi="Arial"/>
                <w:sz w:val="14"/>
              </w:rPr>
              <w:t>Phase 2 — Strategy candidates and sequential backtests</w:t>
            </w:r>
          </w:p>
        </w:tc>
        <w:tc>
          <w:tcPr>
            <w:tcW w:type="dxa" w:w="5256"/>
            <w:tcMar>
              <w:top w:w="65" w:type="dxa"/>
              <w:start w:w="90" w:type="dxa"/>
              <w:bottom w:w="65" w:type="dxa"/>
              <w:end w:w="90" w:type="dxa"/>
            </w:tcMar>
          </w:tcPr>
          <w:p>
            <w:pPr>
              <w:spacing w:after="0"/>
            </w:pPr>
            <w:r>
              <w:rPr>
                <w:rFonts w:ascii="Arial" w:hAnsi="Arial"/>
                <w:sz w:val="14"/>
              </w:rPr>
              <w:t>Translate approved Branch A and/or Branch B evidence into deterministic trade rules and stateful backtests.</w:t>
            </w:r>
          </w:p>
        </w:tc>
        <w:tc>
          <w:tcPr>
            <w:tcW w:type="dxa" w:w="2880"/>
            <w:tcMar>
              <w:top w:w="65" w:type="dxa"/>
              <w:start w:w="90" w:type="dxa"/>
              <w:bottom w:w="65" w:type="dxa"/>
              <w:end w:w="90" w:type="dxa"/>
            </w:tcMar>
          </w:tcPr>
          <w:p>
            <w:pPr>
              <w:spacing w:after="0"/>
            </w:pPr>
            <w:r>
              <w:rPr>
                <w:rFonts w:ascii="Arial" w:hAnsi="Arial"/>
                <w:sz w:val="14"/>
              </w:rPr>
              <w:t>At least one fully specified candidate or a defensible decision that none qualify.</w:t>
            </w:r>
          </w:p>
        </w:tc>
      </w:tr>
      <w:tr>
        <w:trPr>
          <w:cantSplit/>
        </w:trPr>
        <w:tc>
          <w:tcPr>
            <w:tcW w:type="dxa" w:w="2232"/>
            <w:tcMar>
              <w:top w:w="65" w:type="dxa"/>
              <w:start w:w="90" w:type="dxa"/>
              <w:bottom w:w="65" w:type="dxa"/>
              <w:end w:w="90" w:type="dxa"/>
            </w:tcMar>
            <w:shd w:fill="F3F5F7"/>
          </w:tcPr>
          <w:p>
            <w:pPr>
              <w:spacing w:after="0"/>
            </w:pPr>
            <w:r>
              <w:rPr>
                <w:rFonts w:ascii="Arial" w:hAnsi="Arial"/>
                <w:sz w:val="14"/>
              </w:rPr>
              <w:t>Phase 3 — Hybrid integration research</w:t>
            </w:r>
          </w:p>
        </w:tc>
        <w:tc>
          <w:tcPr>
            <w:tcW w:type="dxa" w:w="5256"/>
            <w:tcMar>
              <w:top w:w="65" w:type="dxa"/>
              <w:start w:w="90" w:type="dxa"/>
              <w:bottom w:w="65" w:type="dxa"/>
              <w:end w:w="90" w:type="dxa"/>
            </w:tcMar>
            <w:shd w:fill="F3F5F7"/>
          </w:tcPr>
          <w:p>
            <w:pPr>
              <w:spacing w:after="0"/>
            </w:pPr>
            <w:r>
              <w:rPr>
                <w:rFonts w:ascii="Arial" w:hAnsi="Arial"/>
                <w:sz w:val="14"/>
              </w:rPr>
              <w:t>Compare statistical-only, POI-only, POI filtered/ranked by statistics, and any human-in-loop design.</w:t>
            </w:r>
          </w:p>
        </w:tc>
        <w:tc>
          <w:tcPr>
            <w:tcW w:type="dxa" w:w="2880"/>
            <w:tcMar>
              <w:top w:w="65" w:type="dxa"/>
              <w:start w:w="90" w:type="dxa"/>
              <w:bottom w:w="65" w:type="dxa"/>
              <w:end w:w="90" w:type="dxa"/>
            </w:tcMar>
            <w:shd w:fill="F3F5F7"/>
          </w:tcPr>
          <w:p>
            <w:pPr>
              <w:spacing w:after="0"/>
            </w:pPr>
            <w:r>
              <w:rPr>
                <w:rFonts w:ascii="Arial" w:hAnsi="Arial"/>
                <w:sz w:val="14"/>
              </w:rPr>
              <w:t>Frozen hybrid specification demonstrating incremental out-of-sample value—or rejection.</w:t>
            </w:r>
          </w:p>
        </w:tc>
      </w:tr>
      <w:tr>
        <w:trPr>
          <w:cantSplit/>
        </w:trPr>
        <w:tc>
          <w:tcPr>
            <w:tcW w:type="dxa" w:w="2232"/>
            <w:tcMar>
              <w:top w:w="65" w:type="dxa"/>
              <w:start w:w="90" w:type="dxa"/>
              <w:bottom w:w="65" w:type="dxa"/>
              <w:end w:w="90" w:type="dxa"/>
            </w:tcMar>
          </w:tcPr>
          <w:p>
            <w:pPr>
              <w:spacing w:after="0"/>
            </w:pPr>
            <w:r>
              <w:rPr>
                <w:rFonts w:ascii="Arial" w:hAnsi="Arial"/>
                <w:sz w:val="14"/>
              </w:rPr>
              <w:t>Phase 4 — MGC execution and prop-policy layer</w:t>
            </w:r>
          </w:p>
        </w:tc>
        <w:tc>
          <w:tcPr>
            <w:tcW w:type="dxa" w:w="5256"/>
            <w:tcMar>
              <w:top w:w="65" w:type="dxa"/>
              <w:start w:w="90" w:type="dxa"/>
              <w:bottom w:w="65" w:type="dxa"/>
              <w:end w:w="90" w:type="dxa"/>
            </w:tcMar>
          </w:tcPr>
          <w:p>
            <w:pPr>
              <w:spacing w:after="0"/>
            </w:pPr>
            <w:r>
              <w:rPr>
                <w:rFonts w:ascii="Arial" w:hAnsi="Arial"/>
                <w:sz w:val="14"/>
              </w:rPr>
              <w:t>GC-to-MGC transfer validation, cost model, account/risk model, and selected prop-firm rule configuration.</w:t>
            </w:r>
          </w:p>
        </w:tc>
        <w:tc>
          <w:tcPr>
            <w:tcW w:type="dxa" w:w="2880"/>
            <w:tcMar>
              <w:top w:w="65" w:type="dxa"/>
              <w:start w:w="90" w:type="dxa"/>
              <w:bottom w:w="65" w:type="dxa"/>
              <w:end w:w="90" w:type="dxa"/>
            </w:tcMar>
          </w:tcPr>
          <w:p>
            <w:pPr>
              <w:spacing w:after="0"/>
            </w:pPr>
            <w:r>
              <w:rPr>
                <w:rFonts w:ascii="Arial" w:hAnsi="Arial"/>
                <w:sz w:val="14"/>
              </w:rPr>
              <w:t>A rule-compliant strategy configuration with realistic pass/fail simulation.</w:t>
            </w:r>
          </w:p>
        </w:tc>
      </w:tr>
      <w:tr>
        <w:trPr>
          <w:cantSplit/>
        </w:trPr>
        <w:tc>
          <w:tcPr>
            <w:tcW w:type="dxa" w:w="2232"/>
            <w:tcMar>
              <w:top w:w="65" w:type="dxa"/>
              <w:start w:w="90" w:type="dxa"/>
              <w:bottom w:w="65" w:type="dxa"/>
              <w:end w:w="90" w:type="dxa"/>
            </w:tcMar>
            <w:shd w:fill="F3F5F7"/>
          </w:tcPr>
          <w:p>
            <w:pPr>
              <w:spacing w:after="0"/>
            </w:pPr>
            <w:r>
              <w:rPr>
                <w:rFonts w:ascii="Arial" w:hAnsi="Arial"/>
                <w:sz w:val="14"/>
              </w:rPr>
              <w:t>Phase 5 — Rithmic forward test</w:t>
            </w:r>
          </w:p>
        </w:tc>
        <w:tc>
          <w:tcPr>
            <w:tcW w:type="dxa" w:w="5256"/>
            <w:tcMar>
              <w:top w:w="65" w:type="dxa"/>
              <w:start w:w="90" w:type="dxa"/>
              <w:bottom w:w="65" w:type="dxa"/>
              <w:end w:w="90" w:type="dxa"/>
            </w:tcMar>
            <w:shd w:fill="F3F5F7"/>
          </w:tcPr>
          <w:p>
            <w:pPr>
              <w:spacing w:after="0"/>
            </w:pPr>
            <w:r>
              <w:rPr>
                <w:rFonts w:ascii="Arial" w:hAnsi="Arial"/>
                <w:sz w:val="14"/>
              </w:rPr>
              <w:t>Shadow and simulated live-data operation, telemetry, fills, reliability, and risk controls.</w:t>
            </w:r>
          </w:p>
        </w:tc>
        <w:tc>
          <w:tcPr>
            <w:tcW w:type="dxa" w:w="2880"/>
            <w:tcMar>
              <w:top w:w="65" w:type="dxa"/>
              <w:start w:w="90" w:type="dxa"/>
              <w:bottom w:w="65" w:type="dxa"/>
              <w:end w:w="90" w:type="dxa"/>
            </w:tcMar>
            <w:shd w:fill="F3F5F7"/>
          </w:tcPr>
          <w:p>
            <w:pPr>
              <w:spacing w:after="0"/>
            </w:pPr>
            <w:r>
              <w:rPr>
                <w:rFonts w:ascii="Arial" w:hAnsi="Arial"/>
                <w:sz w:val="14"/>
              </w:rPr>
              <w:t>Paper gate passed under predeclared duration/sample and operational criteria.</w:t>
            </w:r>
          </w:p>
        </w:tc>
      </w:tr>
      <w:tr>
        <w:trPr>
          <w:cantSplit/>
        </w:trPr>
        <w:tc>
          <w:tcPr>
            <w:tcW w:type="dxa" w:w="2232"/>
            <w:tcMar>
              <w:top w:w="65" w:type="dxa"/>
              <w:start w:w="90" w:type="dxa"/>
              <w:bottom w:w="65" w:type="dxa"/>
              <w:end w:w="90" w:type="dxa"/>
            </w:tcMar>
          </w:tcPr>
          <w:p>
            <w:pPr>
              <w:spacing w:after="0"/>
            </w:pPr>
            <w:r>
              <w:rPr>
                <w:rFonts w:ascii="Arial" w:hAnsi="Arial"/>
                <w:sz w:val="14"/>
              </w:rPr>
              <w:t>Phase 6 — Controlled prop deployment</w:t>
            </w:r>
          </w:p>
        </w:tc>
        <w:tc>
          <w:tcPr>
            <w:tcW w:type="dxa" w:w="5256"/>
            <w:tcMar>
              <w:top w:w="65" w:type="dxa"/>
              <w:start w:w="90" w:type="dxa"/>
              <w:bottom w:w="65" w:type="dxa"/>
              <w:end w:w="90" w:type="dxa"/>
            </w:tcMar>
          </w:tcPr>
          <w:p>
            <w:pPr>
              <w:spacing w:after="0"/>
            </w:pPr>
            <w:r>
              <w:rPr>
                <w:rFonts w:ascii="Arial" w:hAnsi="Arial"/>
                <w:sz w:val="14"/>
              </w:rPr>
              <w:t>Evaluation and funded operation at minimum size, followed by measured scale-up.</w:t>
            </w:r>
          </w:p>
        </w:tc>
        <w:tc>
          <w:tcPr>
            <w:tcW w:type="dxa" w:w="2880"/>
            <w:tcMar>
              <w:top w:w="65" w:type="dxa"/>
              <w:start w:w="90" w:type="dxa"/>
              <w:bottom w:w="65" w:type="dxa"/>
              <w:end w:w="90" w:type="dxa"/>
            </w:tcMar>
          </w:tcPr>
          <w:p>
            <w:pPr>
              <w:spacing w:after="0"/>
            </w:pPr>
            <w:r>
              <w:rPr>
                <w:rFonts w:ascii="Arial" w:hAnsi="Arial"/>
                <w:sz w:val="14"/>
              </w:rPr>
              <w:t>Rule compliance, execution reconciliation, and approved risk-adjusted live evidence.</w:t>
            </w:r>
          </w:p>
        </w:tc>
      </w:tr>
      <w:tr>
        <w:trPr>
          <w:cantSplit/>
        </w:trPr>
        <w:tc>
          <w:tcPr>
            <w:tcW w:type="dxa" w:w="2232"/>
            <w:tcMar>
              <w:top w:w="65" w:type="dxa"/>
              <w:start w:w="90" w:type="dxa"/>
              <w:bottom w:w="65" w:type="dxa"/>
              <w:end w:w="90" w:type="dxa"/>
            </w:tcMar>
            <w:shd w:fill="F3F5F7"/>
          </w:tcPr>
          <w:p>
            <w:pPr>
              <w:spacing w:after="0"/>
            </w:pPr>
            <w:r>
              <w:rPr>
                <w:rFonts w:ascii="Arial" w:hAnsi="Arial"/>
                <w:sz w:val="14"/>
              </w:rPr>
              <w:t>Phase 7 — Granular market-data programme</w:t>
            </w:r>
          </w:p>
        </w:tc>
        <w:tc>
          <w:tcPr>
            <w:tcW w:type="dxa" w:w="5256"/>
            <w:tcMar>
              <w:top w:w="65" w:type="dxa"/>
              <w:start w:w="90" w:type="dxa"/>
              <w:bottom w:w="65" w:type="dxa"/>
              <w:end w:w="90" w:type="dxa"/>
            </w:tcMar>
            <w:shd w:fill="F3F5F7"/>
          </w:tcPr>
          <w:p>
            <w:pPr>
              <w:spacing w:after="0"/>
            </w:pPr>
            <w:r>
              <w:rPr>
                <w:rFonts w:ascii="Arial" w:hAnsi="Arial"/>
                <w:sz w:val="14"/>
              </w:rPr>
              <w:t>Evaluate TBBO/MBP as intermediate steps, then MBO order-book reconstruction and order-flow research.</w:t>
            </w:r>
          </w:p>
        </w:tc>
        <w:tc>
          <w:tcPr>
            <w:tcW w:type="dxa" w:w="2880"/>
            <w:tcMar>
              <w:top w:w="65" w:type="dxa"/>
              <w:start w:w="90" w:type="dxa"/>
              <w:bottom w:w="65" w:type="dxa"/>
              <w:end w:w="90" w:type="dxa"/>
            </w:tcMar>
            <w:shd w:fill="F3F5F7"/>
          </w:tcPr>
          <w:p>
            <w:pPr>
              <w:spacing w:after="0"/>
            </w:pPr>
            <w:r>
              <w:rPr>
                <w:rFonts w:ascii="Arial" w:hAnsi="Arial"/>
                <w:sz w:val="14"/>
              </w:rPr>
              <w:t>Separate PRD/data budget, validated book pipeline, and new research branch.</w:t>
            </w:r>
          </w:p>
        </w:tc>
      </w:tr>
      <w:tr>
        <w:trPr>
          <w:cantSplit/>
        </w:trPr>
        <w:tc>
          <w:tcPr>
            <w:tcW w:type="dxa" w:w="2232"/>
            <w:tcMar>
              <w:top w:w="65" w:type="dxa"/>
              <w:start w:w="90" w:type="dxa"/>
              <w:bottom w:w="65" w:type="dxa"/>
              <w:end w:w="90" w:type="dxa"/>
            </w:tcMar>
          </w:tcPr>
          <w:p>
            <w:pPr>
              <w:spacing w:after="0"/>
            </w:pPr>
            <w:r>
              <w:rPr>
                <w:rFonts w:ascii="Arial" w:hAnsi="Arial"/>
                <w:sz w:val="14"/>
              </w:rPr>
              <w:t>Phase 8 — Proprietary capital and GC scaling</w:t>
            </w:r>
          </w:p>
        </w:tc>
        <w:tc>
          <w:tcPr>
            <w:tcW w:type="dxa" w:w="5256"/>
            <w:tcMar>
              <w:top w:w="65" w:type="dxa"/>
              <w:start w:w="90" w:type="dxa"/>
              <w:bottom w:w="65" w:type="dxa"/>
              <w:end w:w="90" w:type="dxa"/>
            </w:tcMar>
          </w:tcPr>
          <w:p>
            <w:pPr>
              <w:spacing w:after="0"/>
            </w:pPr>
            <w:r>
              <w:rPr>
                <w:rFonts w:ascii="Arial" w:hAnsi="Arial"/>
                <w:sz w:val="14"/>
              </w:rPr>
              <w:t>Operate without prop restrictions when capital permits; consider GC or portfolio expansion.</w:t>
            </w:r>
          </w:p>
        </w:tc>
        <w:tc>
          <w:tcPr>
            <w:tcW w:type="dxa" w:w="2880"/>
            <w:tcMar>
              <w:top w:w="65" w:type="dxa"/>
              <w:start w:w="90" w:type="dxa"/>
              <w:bottom w:w="65" w:type="dxa"/>
              <w:end w:w="90" w:type="dxa"/>
            </w:tcMar>
          </w:tcPr>
          <w:p>
            <w:pPr>
              <w:spacing w:after="0"/>
            </w:pPr>
            <w:r>
              <w:rPr>
                <w:rFonts w:ascii="Arial" w:hAnsi="Arial"/>
                <w:sz w:val="14"/>
              </w:rPr>
              <w:t>Independent capital, institutionalized controls, and a new scaling risk review.</w:t>
            </w:r>
          </w:p>
        </w:tc>
      </w:tr>
    </w:tbl>
    <w:p>
      <w:pPr>
        <w:spacing w:after="0"/>
        <w:widowControl/>
      </w:pPr>
    </w:p>
    <w:p>
      <w:pPr>
        <w:pStyle w:val="Heading1"/>
        <w:pBdr>
          <w:bottom w:val="single" w:sz="8" w:space="3" w:color="B88A2A"/>
        </w:pBdr>
        <w:widowControl/>
      </w:pPr>
      <w:r>
        <w:rPr>
          <w:rFonts w:ascii="Arial" w:hAnsi="Arial"/>
          <w:b/>
          <w:color w:val="172033"/>
          <w:sz w:val="36"/>
        </w:rPr>
        <w:t>19. MBO, TBBO, and Order-Flow Future Scope</w:t>
      </w:r>
    </w:p>
    <w:p>
      <w:pPr>
        <w:widowControl/>
      </w:pPr>
      <w:r>
        <w:rPr>
          <w:rFonts w:ascii="Arial" w:hAnsi="Arial"/>
          <w:i w:val="0"/>
        </w:rPr>
        <w:t>The future order-flow programme will be treated as a separate product expansion rather than an informal extension of the one-minute notebook. Databento MBO contains every order-book event across all price levels and is the highest-granularity public order-level schema available in this feed. TBBO is an L1 trade-space schema that combines each trade with the best bid and offer immediately preceding it. These datasets can support questions that OHLCV cannot answer, but they require materially greater storage, stateful book reconstruction, compute, and execution modelling.</w:t>
      </w:r>
    </w:p>
    <w:tbl>
      <w:tblPr>
        <w:tblStyle w:val="TableGrid"/>
        <w:tblW w:type="auto" w:w="0"/>
        <w:jc w:val="center"/>
        <w:tblLayout w:type="fixed"/>
        <w:tblLook w:firstColumn="1" w:firstRow="1" w:lastColumn="0" w:lastRow="0" w:noHBand="0" w:noVBand="1" w:val="04A0"/>
      </w:tblPr>
      <w:tblGrid>
        <w:gridCol w:w="2498"/>
        <w:gridCol w:w="2498"/>
        <w:gridCol w:w="2498"/>
        <w:gridCol w:w="2498"/>
      </w:tblGrid>
      <w:tr>
        <w:trPr>
          <w:tblHeader w:val="true"/>
        </w:trPr>
        <w:tc>
          <w:tcPr>
            <w:tcW w:type="dxa" w:w="792"/>
            <w:shd w:fill="172033"/>
            <w:tcMar>
              <w:top w:w="75" w:type="dxa"/>
              <w:start w:w="90" w:type="dxa"/>
              <w:bottom w:w="75" w:type="dxa"/>
              <w:end w:w="90" w:type="dxa"/>
            </w:tcMar>
            <w:vAlign w:val="center"/>
          </w:tcPr>
          <w:p>
            <w:pPr>
              <w:jc w:val="left"/>
            </w:pPr>
            <w:r>
              <w:rPr>
                <w:rFonts w:ascii="Arial" w:hAnsi="Arial"/>
                <w:b/>
                <w:color w:val="FFFFFF"/>
                <w:sz w:val="16"/>
              </w:rPr>
              <w:t>Stage</w:t>
            </w:r>
          </w:p>
        </w:tc>
        <w:tc>
          <w:tcPr>
            <w:tcW w:type="dxa" w:w="1944"/>
            <w:shd w:fill="172033"/>
            <w:tcMar>
              <w:top w:w="75" w:type="dxa"/>
              <w:start w:w="90" w:type="dxa"/>
              <w:bottom w:w="75" w:type="dxa"/>
              <w:end w:w="90" w:type="dxa"/>
            </w:tcMar>
            <w:vAlign w:val="center"/>
          </w:tcPr>
          <w:p>
            <w:pPr>
              <w:jc w:val="left"/>
            </w:pPr>
            <w:r>
              <w:rPr>
                <w:rFonts w:ascii="Arial" w:hAnsi="Arial"/>
                <w:b/>
                <w:color w:val="FFFFFF"/>
                <w:sz w:val="16"/>
              </w:rPr>
              <w:t>Data</w:t>
            </w:r>
          </w:p>
        </w:tc>
        <w:tc>
          <w:tcPr>
            <w:tcW w:type="dxa" w:w="4680"/>
            <w:shd w:fill="172033"/>
            <w:tcMar>
              <w:top w:w="75" w:type="dxa"/>
              <w:start w:w="90" w:type="dxa"/>
              <w:bottom w:w="75" w:type="dxa"/>
              <w:end w:w="90" w:type="dxa"/>
            </w:tcMar>
            <w:vAlign w:val="center"/>
          </w:tcPr>
          <w:p>
            <w:pPr>
              <w:jc w:val="left"/>
            </w:pPr>
            <w:r>
              <w:rPr>
                <w:rFonts w:ascii="Arial" w:hAnsi="Arial"/>
                <w:b/>
                <w:color w:val="FFFFFF"/>
                <w:sz w:val="16"/>
              </w:rPr>
              <w:t>Potential research value</w:t>
            </w:r>
          </w:p>
        </w:tc>
        <w:tc>
          <w:tcPr>
            <w:tcW w:type="dxa" w:w="2952"/>
            <w:shd w:fill="172033"/>
            <w:tcMar>
              <w:top w:w="75" w:type="dxa"/>
              <w:start w:w="90" w:type="dxa"/>
              <w:bottom w:w="75" w:type="dxa"/>
              <w:end w:w="90" w:type="dxa"/>
            </w:tcMar>
            <w:vAlign w:val="center"/>
          </w:tcPr>
          <w:p>
            <w:pPr>
              <w:jc w:val="left"/>
            </w:pPr>
            <w:r>
              <w:rPr>
                <w:rFonts w:ascii="Arial" w:hAnsi="Arial"/>
                <w:b/>
                <w:color w:val="FFFFFF"/>
                <w:sz w:val="16"/>
              </w:rPr>
              <w:t>Why staged</w:t>
            </w:r>
          </w:p>
        </w:tc>
      </w:tr>
      <w:tr>
        <w:trPr>
          <w:cantSplit/>
        </w:trPr>
        <w:tc>
          <w:tcPr>
            <w:tcW w:type="dxa" w:w="792"/>
            <w:tcMar>
              <w:top w:w="65" w:type="dxa"/>
              <w:start w:w="90" w:type="dxa"/>
              <w:bottom w:w="65" w:type="dxa"/>
              <w:end w:w="90" w:type="dxa"/>
            </w:tcMar>
          </w:tcPr>
          <w:p>
            <w:pPr>
              <w:spacing w:after="0"/>
            </w:pPr>
            <w:r>
              <w:rPr>
                <w:rFonts w:ascii="Arial" w:hAnsi="Arial"/>
                <w:sz w:val="15"/>
              </w:rPr>
              <w:t>1</w:t>
            </w:r>
          </w:p>
        </w:tc>
        <w:tc>
          <w:tcPr>
            <w:tcW w:type="dxa" w:w="1944"/>
            <w:tcMar>
              <w:top w:w="65" w:type="dxa"/>
              <w:start w:w="90" w:type="dxa"/>
              <w:bottom w:w="65" w:type="dxa"/>
              <w:end w:w="90" w:type="dxa"/>
            </w:tcMar>
          </w:tcPr>
          <w:p>
            <w:pPr>
              <w:spacing w:after="0"/>
            </w:pPr>
            <w:r>
              <w:rPr>
                <w:rFonts w:ascii="Arial" w:hAnsi="Arial"/>
                <w:sz w:val="15"/>
              </w:rPr>
              <w:t>Trades / TBBO</w:t>
            </w:r>
          </w:p>
        </w:tc>
        <w:tc>
          <w:tcPr>
            <w:tcW w:type="dxa" w:w="4680"/>
            <w:tcMar>
              <w:top w:w="65" w:type="dxa"/>
              <w:start w:w="90" w:type="dxa"/>
              <w:bottom w:w="65" w:type="dxa"/>
              <w:end w:w="90" w:type="dxa"/>
            </w:tcMar>
          </w:tcPr>
          <w:p>
            <w:pPr>
              <w:spacing w:after="0"/>
            </w:pPr>
            <w:r>
              <w:rPr>
                <w:rFonts w:ascii="Arial" w:hAnsi="Arial"/>
                <w:sz w:val="15"/>
              </w:rPr>
              <w:t>Trade direction, spread at trade time, top-of-book liquidity, short-term impact, execution-cost estimation.</w:t>
            </w:r>
          </w:p>
        </w:tc>
        <w:tc>
          <w:tcPr>
            <w:tcW w:type="dxa" w:w="2952"/>
            <w:tcMar>
              <w:top w:w="65" w:type="dxa"/>
              <w:start w:w="90" w:type="dxa"/>
              <w:bottom w:w="65" w:type="dxa"/>
              <w:end w:w="90" w:type="dxa"/>
            </w:tcMar>
          </w:tcPr>
          <w:p>
            <w:pPr>
              <w:spacing w:after="0"/>
            </w:pPr>
            <w:r>
              <w:rPr>
                <w:rFonts w:ascii="Arial" w:hAnsi="Arial"/>
                <w:sz w:val="15"/>
              </w:rPr>
              <w:t>Lower storage and complexity than full order book; useful bridge from OHLCV.</w:t>
            </w:r>
          </w:p>
        </w:tc>
      </w:tr>
      <w:tr>
        <w:trPr>
          <w:cantSplit/>
        </w:trPr>
        <w:tc>
          <w:tcPr>
            <w:tcW w:type="dxa" w:w="792"/>
            <w:tcMar>
              <w:top w:w="65" w:type="dxa"/>
              <w:start w:w="90" w:type="dxa"/>
              <w:bottom w:w="65" w:type="dxa"/>
              <w:end w:w="90" w:type="dxa"/>
            </w:tcMar>
            <w:shd w:fill="F3F5F7"/>
          </w:tcPr>
          <w:p>
            <w:pPr>
              <w:spacing w:after="0"/>
            </w:pPr>
            <w:r>
              <w:rPr>
                <w:rFonts w:ascii="Arial" w:hAnsi="Arial"/>
                <w:sz w:val="15"/>
              </w:rPr>
              <w:t>2</w:t>
            </w:r>
          </w:p>
        </w:tc>
        <w:tc>
          <w:tcPr>
            <w:tcW w:type="dxa" w:w="1944"/>
            <w:tcMar>
              <w:top w:w="65" w:type="dxa"/>
              <w:start w:w="90" w:type="dxa"/>
              <w:bottom w:w="65" w:type="dxa"/>
              <w:end w:w="90" w:type="dxa"/>
            </w:tcMar>
            <w:shd w:fill="F3F5F7"/>
          </w:tcPr>
          <w:p>
            <w:pPr>
              <w:spacing w:after="0"/>
            </w:pPr>
            <w:r>
              <w:rPr>
                <w:rFonts w:ascii="Arial" w:hAnsi="Arial"/>
                <w:sz w:val="15"/>
              </w:rPr>
              <w:t>MBP-1 / MBP-10</w:t>
            </w:r>
          </w:p>
        </w:tc>
        <w:tc>
          <w:tcPr>
            <w:tcW w:type="dxa" w:w="4680"/>
            <w:tcMar>
              <w:top w:w="65" w:type="dxa"/>
              <w:start w:w="90" w:type="dxa"/>
              <w:bottom w:w="65" w:type="dxa"/>
              <w:end w:w="90" w:type="dxa"/>
            </w:tcMar>
            <w:shd w:fill="F3F5F7"/>
          </w:tcPr>
          <w:p>
            <w:pPr>
              <w:spacing w:after="0"/>
            </w:pPr>
            <w:r>
              <w:rPr>
                <w:rFonts w:ascii="Arial" w:hAnsi="Arial"/>
                <w:sz w:val="15"/>
              </w:rPr>
              <w:t>BBO/depth imbalance, microprice, liquidity depletion, depth changes, trade-to-book interaction.</w:t>
            </w:r>
          </w:p>
        </w:tc>
        <w:tc>
          <w:tcPr>
            <w:tcW w:type="dxa" w:w="2952"/>
            <w:tcMar>
              <w:top w:w="65" w:type="dxa"/>
              <w:start w:w="90" w:type="dxa"/>
              <w:bottom w:w="65" w:type="dxa"/>
              <w:end w:w="90" w:type="dxa"/>
            </w:tcMar>
            <w:shd w:fill="F3F5F7"/>
          </w:tcPr>
          <w:p>
            <w:pPr>
              <w:spacing w:after="0"/>
            </w:pPr>
            <w:r>
              <w:rPr>
                <w:rFonts w:ascii="Arial" w:hAnsi="Arial"/>
                <w:sz w:val="15"/>
              </w:rPr>
              <w:t>Introduces stateful quote/depth logic without individual order queues.</w:t>
            </w:r>
          </w:p>
        </w:tc>
      </w:tr>
      <w:tr>
        <w:trPr>
          <w:cantSplit/>
        </w:trPr>
        <w:tc>
          <w:tcPr>
            <w:tcW w:type="dxa" w:w="792"/>
            <w:tcMar>
              <w:top w:w="65" w:type="dxa"/>
              <w:start w:w="90" w:type="dxa"/>
              <w:bottom w:w="65" w:type="dxa"/>
              <w:end w:w="90" w:type="dxa"/>
            </w:tcMar>
          </w:tcPr>
          <w:p>
            <w:pPr>
              <w:spacing w:after="0"/>
            </w:pPr>
            <w:r>
              <w:rPr>
                <w:rFonts w:ascii="Arial" w:hAnsi="Arial"/>
                <w:sz w:val="15"/>
              </w:rPr>
              <w:t>3</w:t>
            </w:r>
          </w:p>
        </w:tc>
        <w:tc>
          <w:tcPr>
            <w:tcW w:type="dxa" w:w="1944"/>
            <w:tcMar>
              <w:top w:w="65" w:type="dxa"/>
              <w:start w:w="90" w:type="dxa"/>
              <w:bottom w:w="65" w:type="dxa"/>
              <w:end w:w="90" w:type="dxa"/>
            </w:tcMar>
          </w:tcPr>
          <w:p>
            <w:pPr>
              <w:spacing w:after="0"/>
            </w:pPr>
            <w:r>
              <w:rPr>
                <w:rFonts w:ascii="Arial" w:hAnsi="Arial"/>
                <w:sz w:val="15"/>
              </w:rPr>
              <w:t>MBO</w:t>
            </w:r>
          </w:p>
        </w:tc>
        <w:tc>
          <w:tcPr>
            <w:tcW w:type="dxa" w:w="4680"/>
            <w:tcMar>
              <w:top w:w="65" w:type="dxa"/>
              <w:start w:w="90" w:type="dxa"/>
              <w:bottom w:w="65" w:type="dxa"/>
              <w:end w:w="90" w:type="dxa"/>
            </w:tcMar>
          </w:tcPr>
          <w:p>
            <w:pPr>
              <w:spacing w:after="0"/>
            </w:pPr>
            <w:r>
              <w:rPr>
                <w:rFonts w:ascii="Arial" w:hAnsi="Arial"/>
                <w:sz w:val="15"/>
              </w:rPr>
              <w:t>Individual order events, queue position, full-depth dynamics, cancellations/modifications, order-flow and execution simulation.</w:t>
            </w:r>
          </w:p>
        </w:tc>
        <w:tc>
          <w:tcPr>
            <w:tcW w:type="dxa" w:w="2952"/>
            <w:tcMar>
              <w:top w:w="65" w:type="dxa"/>
              <w:start w:w="90" w:type="dxa"/>
              <w:bottom w:w="65" w:type="dxa"/>
              <w:end w:w="90" w:type="dxa"/>
            </w:tcMar>
          </w:tcPr>
          <w:p>
            <w:pPr>
              <w:spacing w:after="0"/>
            </w:pPr>
            <w:r>
              <w:rPr>
                <w:rFonts w:ascii="Arial" w:hAnsi="Arial"/>
                <w:sz w:val="15"/>
              </w:rPr>
              <w:t>Highest granularity and greatest cost/engineering burden; justified only after a concrete hypothesis and budget exist.</w:t>
            </w:r>
          </w:p>
        </w:tc>
      </w:tr>
    </w:tbl>
    <w:p>
      <w:pPr>
        <w:spacing w:after="0"/>
        <w:widowControl/>
      </w:pPr>
    </w:p>
    <w:p>
      <w:pPr>
        <w:widowControl/>
      </w:pPr>
      <w:r>
        <w:rPr>
          <w:rFonts w:ascii="Arial" w:hAnsi="Arial"/>
          <w:i w:val="0"/>
        </w:rPr>
        <w:t>MBO is not automatically predictive merely because it is more granular. The order-flow programme must still use causal features, chronological validation, realistic queue/fill modelling, and strict control of data-mining risk.</w:t>
      </w:r>
    </w:p>
    <w:p>
      <w:pPr>
        <w:pStyle w:val="Heading1"/>
        <w:pBdr>
          <w:bottom w:val="single" w:sz="8" w:space="3" w:color="B88A2A"/>
        </w:pBdr>
        <w:widowControl/>
      </w:pPr>
      <w:r>
        <w:rPr>
          <w:rFonts w:ascii="Arial" w:hAnsi="Arial"/>
          <w:b/>
          <w:color w:val="172033"/>
          <w:sz w:val="36"/>
        </w:rPr>
        <w:t>20. Acceptance Gates and Deployment Criteria</w:t>
      </w:r>
    </w:p>
    <w:p>
      <w:pPr>
        <w:widowControl/>
      </w:pPr>
      <w:r>
        <w:rPr>
          <w:rFonts w:ascii="Arial" w:hAnsi="Arial"/>
          <w:i w:val="0"/>
        </w:rPr>
        <w:t>Numeric thresholds must be declared before observing the decisive out-of-sample or forward-test result. The following gates are mandatory even when the exact numerical threshold remains to be approved.</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448"/>
            <w:shd w:fill="172033"/>
            <w:tcMar>
              <w:top w:w="75" w:type="dxa"/>
              <w:start w:w="90" w:type="dxa"/>
              <w:bottom w:w="75" w:type="dxa"/>
              <w:end w:w="90" w:type="dxa"/>
            </w:tcMar>
            <w:vAlign w:val="center"/>
          </w:tcPr>
          <w:p>
            <w:pPr>
              <w:jc w:val="left"/>
            </w:pPr>
            <w:r>
              <w:rPr>
                <w:rFonts w:ascii="Arial" w:hAnsi="Arial"/>
                <w:b/>
                <w:color w:val="FFFFFF"/>
                <w:sz w:val="16"/>
              </w:rPr>
              <w:t>Gate</w:t>
            </w:r>
          </w:p>
        </w:tc>
        <w:tc>
          <w:tcPr>
            <w:tcW w:type="dxa" w:w="7920"/>
            <w:shd w:fill="172033"/>
            <w:tcMar>
              <w:top w:w="75" w:type="dxa"/>
              <w:start w:w="90" w:type="dxa"/>
              <w:bottom w:w="75" w:type="dxa"/>
              <w:end w:w="90" w:type="dxa"/>
            </w:tcMar>
            <w:vAlign w:val="center"/>
          </w:tcPr>
          <w:p>
            <w:pPr>
              <w:jc w:val="left"/>
            </w:pPr>
            <w:r>
              <w:rPr>
                <w:rFonts w:ascii="Arial" w:hAnsi="Arial"/>
                <w:b/>
                <w:color w:val="FFFFFF"/>
                <w:sz w:val="16"/>
              </w:rPr>
              <w:t>Pass conditions</w:t>
            </w:r>
          </w:p>
        </w:tc>
      </w:tr>
      <w:tr>
        <w:trPr>
          <w:cantSplit/>
        </w:trPr>
        <w:tc>
          <w:tcPr>
            <w:tcW w:type="dxa" w:w="2448"/>
            <w:tcMar>
              <w:top w:w="65" w:type="dxa"/>
              <w:start w:w="90" w:type="dxa"/>
              <w:bottom w:w="65" w:type="dxa"/>
              <w:end w:w="90" w:type="dxa"/>
            </w:tcMar>
          </w:tcPr>
          <w:p>
            <w:pPr>
              <w:spacing w:after="0"/>
            </w:pPr>
            <w:r>
              <w:rPr>
                <w:rFonts w:ascii="Arial" w:hAnsi="Arial"/>
                <w:sz w:val="15"/>
              </w:rPr>
              <w:t>G1 — Data and feature integrity</w:t>
            </w:r>
          </w:p>
        </w:tc>
        <w:tc>
          <w:tcPr>
            <w:tcW w:type="dxa" w:w="7920"/>
            <w:tcMar>
              <w:top w:w="65" w:type="dxa"/>
              <w:start w:w="90" w:type="dxa"/>
              <w:bottom w:w="65" w:type="dxa"/>
              <w:end w:w="90" w:type="dxa"/>
            </w:tcMar>
          </w:tcPr>
          <w:p>
            <w:pPr>
              <w:spacing w:after="0"/>
            </w:pPr>
            <w:r>
              <w:rPr>
                <w:rFonts w:ascii="Arial" w:hAnsi="Arial"/>
                <w:sz w:val="15"/>
              </w:rPr>
              <w:t>Trusted data checks pass; no leakage; feature/label availability is auditable; contract/session boundaries are respected.</w:t>
            </w:r>
          </w:p>
        </w:tc>
      </w:tr>
      <w:tr>
        <w:trPr>
          <w:cantSplit/>
        </w:trPr>
        <w:tc>
          <w:tcPr>
            <w:tcW w:type="dxa" w:w="2448"/>
            <w:tcMar>
              <w:top w:w="65" w:type="dxa"/>
              <w:start w:w="90" w:type="dxa"/>
              <w:bottom w:w="65" w:type="dxa"/>
              <w:end w:w="90" w:type="dxa"/>
            </w:tcMar>
            <w:shd w:fill="F3F5F7"/>
          </w:tcPr>
          <w:p>
            <w:pPr>
              <w:spacing w:after="0"/>
            </w:pPr>
            <w:r>
              <w:rPr>
                <w:rFonts w:ascii="Arial" w:hAnsi="Arial"/>
                <w:sz w:val="15"/>
              </w:rPr>
              <w:t>G2 — Research evidence</w:t>
            </w:r>
          </w:p>
        </w:tc>
        <w:tc>
          <w:tcPr>
            <w:tcW w:type="dxa" w:w="7920"/>
            <w:tcMar>
              <w:top w:w="65" w:type="dxa"/>
              <w:start w:w="90" w:type="dxa"/>
              <w:bottom w:w="65" w:type="dxa"/>
              <w:end w:w="90" w:type="dxa"/>
            </w:tcMar>
            <w:shd w:fill="F3F5F7"/>
          </w:tcPr>
          <w:p>
            <w:pPr>
              <w:spacing w:after="0"/>
            </w:pPr>
            <w:r>
              <w:rPr>
                <w:rFonts w:ascii="Arial" w:hAnsi="Arial"/>
                <w:sz w:val="15"/>
              </w:rPr>
              <w:t>Candidate shows interpretable and economically meaningful value in Development and Validation with adequate sample, date coverage, stability, and friction headroom.</w:t>
            </w:r>
          </w:p>
        </w:tc>
      </w:tr>
      <w:tr>
        <w:trPr>
          <w:cantSplit/>
        </w:trPr>
        <w:tc>
          <w:tcPr>
            <w:tcW w:type="dxa" w:w="2448"/>
            <w:tcMar>
              <w:top w:w="65" w:type="dxa"/>
              <w:start w:w="90" w:type="dxa"/>
              <w:bottom w:w="65" w:type="dxa"/>
              <w:end w:w="90" w:type="dxa"/>
            </w:tcMar>
          </w:tcPr>
          <w:p>
            <w:pPr>
              <w:spacing w:after="0"/>
            </w:pPr>
            <w:r>
              <w:rPr>
                <w:rFonts w:ascii="Arial" w:hAnsi="Arial"/>
                <w:sz w:val="15"/>
              </w:rPr>
              <w:t>G3 — Strategy freeze</w:t>
            </w:r>
          </w:p>
        </w:tc>
        <w:tc>
          <w:tcPr>
            <w:tcW w:type="dxa" w:w="7920"/>
            <w:tcMar>
              <w:top w:w="65" w:type="dxa"/>
              <w:start w:w="90" w:type="dxa"/>
              <w:bottom w:w="65" w:type="dxa"/>
              <w:end w:w="90" w:type="dxa"/>
            </w:tcMar>
          </w:tcPr>
          <w:p>
            <w:pPr>
              <w:spacing w:after="0"/>
            </w:pPr>
            <w:r>
              <w:rPr>
                <w:rFonts w:ascii="Arial" w:hAnsi="Arial"/>
                <w:sz w:val="15"/>
              </w:rPr>
              <w:t>Entry, exit, stop, target, sizing, overlap, and risk rules are fully specified before decisive testing.</w:t>
            </w:r>
          </w:p>
        </w:tc>
      </w:tr>
      <w:tr>
        <w:trPr>
          <w:cantSplit/>
        </w:trPr>
        <w:tc>
          <w:tcPr>
            <w:tcW w:type="dxa" w:w="2448"/>
            <w:tcMar>
              <w:top w:w="65" w:type="dxa"/>
              <w:start w:w="90" w:type="dxa"/>
              <w:bottom w:w="65" w:type="dxa"/>
              <w:end w:w="90" w:type="dxa"/>
            </w:tcMar>
            <w:shd w:fill="F3F5F7"/>
          </w:tcPr>
          <w:p>
            <w:pPr>
              <w:spacing w:after="0"/>
            </w:pPr>
            <w:r>
              <w:rPr>
                <w:rFonts w:ascii="Arial" w:hAnsi="Arial"/>
                <w:sz w:val="15"/>
              </w:rPr>
              <w:t>G4 — Sequential backtest</w:t>
            </w:r>
          </w:p>
        </w:tc>
        <w:tc>
          <w:tcPr>
            <w:tcW w:type="dxa" w:w="7920"/>
            <w:tcMar>
              <w:top w:w="65" w:type="dxa"/>
              <w:start w:w="90" w:type="dxa"/>
              <w:bottom w:w="65" w:type="dxa"/>
              <w:end w:w="90" w:type="dxa"/>
            </w:tcMar>
            <w:shd w:fill="F3F5F7"/>
          </w:tcPr>
          <w:p>
            <w:pPr>
              <w:spacing w:after="0"/>
            </w:pPr>
            <w:r>
              <w:rPr>
                <w:rFonts w:ascii="Arial" w:hAnsi="Arial"/>
                <w:sz w:val="15"/>
              </w:rPr>
              <w:t>Positive net expectancy under base and approved pessimistic costs; acceptable drawdown/tail behaviour; no dependence on one narrow year, session, regime, or parameter.</w:t>
            </w:r>
          </w:p>
        </w:tc>
      </w:tr>
      <w:tr>
        <w:trPr>
          <w:cantSplit/>
        </w:trPr>
        <w:tc>
          <w:tcPr>
            <w:tcW w:type="dxa" w:w="2448"/>
            <w:tcMar>
              <w:top w:w="65" w:type="dxa"/>
              <w:start w:w="90" w:type="dxa"/>
              <w:bottom w:w="65" w:type="dxa"/>
              <w:end w:w="90" w:type="dxa"/>
            </w:tcMar>
          </w:tcPr>
          <w:p>
            <w:pPr>
              <w:spacing w:after="0"/>
            </w:pPr>
            <w:r>
              <w:rPr>
                <w:rFonts w:ascii="Arial" w:hAnsi="Arial"/>
                <w:sz w:val="15"/>
              </w:rPr>
              <w:t>G5 — MGC transfer</w:t>
            </w:r>
          </w:p>
        </w:tc>
        <w:tc>
          <w:tcPr>
            <w:tcW w:type="dxa" w:w="7920"/>
            <w:tcMar>
              <w:top w:w="65" w:type="dxa"/>
              <w:start w:w="90" w:type="dxa"/>
              <w:bottom w:w="65" w:type="dxa"/>
              <w:end w:w="90" w:type="dxa"/>
            </w:tcMar>
          </w:tcPr>
          <w:p>
            <w:pPr>
              <w:spacing w:after="0"/>
            </w:pPr>
            <w:r>
              <w:rPr>
                <w:rFonts w:ascii="Arial" w:hAnsi="Arial"/>
                <w:sz w:val="15"/>
              </w:rPr>
              <w:t>GC-derived decisions remain executable in MGC with acceptable divergence, spread, liquidity, and slippage.</w:t>
            </w:r>
          </w:p>
        </w:tc>
      </w:tr>
      <w:tr>
        <w:trPr>
          <w:cantSplit/>
        </w:trPr>
        <w:tc>
          <w:tcPr>
            <w:tcW w:type="dxa" w:w="2448"/>
            <w:tcMar>
              <w:top w:w="65" w:type="dxa"/>
              <w:start w:w="90" w:type="dxa"/>
              <w:bottom w:w="65" w:type="dxa"/>
              <w:end w:w="90" w:type="dxa"/>
            </w:tcMar>
            <w:shd w:fill="F3F5F7"/>
          </w:tcPr>
          <w:p>
            <w:pPr>
              <w:spacing w:after="0"/>
            </w:pPr>
            <w:r>
              <w:rPr>
                <w:rFonts w:ascii="Arial" w:hAnsi="Arial"/>
                <w:sz w:val="15"/>
              </w:rPr>
              <w:t>G6 — Prop-rule resilience</w:t>
            </w:r>
          </w:p>
        </w:tc>
        <w:tc>
          <w:tcPr>
            <w:tcW w:type="dxa" w:w="7920"/>
            <w:tcMar>
              <w:top w:w="65" w:type="dxa"/>
              <w:start w:w="90" w:type="dxa"/>
              <w:bottom w:w="65" w:type="dxa"/>
              <w:end w:w="90" w:type="dxa"/>
            </w:tcMar>
            <w:shd w:fill="F3F5F7"/>
          </w:tcPr>
          <w:p>
            <w:pPr>
              <w:spacing w:after="0"/>
            </w:pPr>
            <w:r>
              <w:rPr>
                <w:rFonts w:ascii="Arial" w:hAnsi="Arial"/>
                <w:sz w:val="15"/>
              </w:rPr>
              <w:t>No prohibited behaviour; internal buffers prevent hard-rule breaches in historical stress and Monte Carlo simulations; pass/survival characteristics meet the predeclared target.</w:t>
            </w:r>
          </w:p>
        </w:tc>
      </w:tr>
      <w:tr>
        <w:trPr>
          <w:cantSplit/>
        </w:trPr>
        <w:tc>
          <w:tcPr>
            <w:tcW w:type="dxa" w:w="2448"/>
            <w:tcMar>
              <w:top w:w="65" w:type="dxa"/>
              <w:start w:w="90" w:type="dxa"/>
              <w:bottom w:w="65" w:type="dxa"/>
              <w:end w:w="90" w:type="dxa"/>
            </w:tcMar>
          </w:tcPr>
          <w:p>
            <w:pPr>
              <w:spacing w:after="0"/>
            </w:pPr>
            <w:r>
              <w:rPr>
                <w:rFonts w:ascii="Arial" w:hAnsi="Arial"/>
                <w:sz w:val="15"/>
              </w:rPr>
              <w:t>G7 — Paper operations</w:t>
            </w:r>
          </w:p>
        </w:tc>
        <w:tc>
          <w:tcPr>
            <w:tcW w:type="dxa" w:w="7920"/>
            <w:tcMar>
              <w:top w:w="65" w:type="dxa"/>
              <w:start w:w="90" w:type="dxa"/>
              <w:bottom w:w="65" w:type="dxa"/>
              <w:end w:w="90" w:type="dxa"/>
            </w:tcMar>
          </w:tcPr>
          <w:p>
            <w:pPr>
              <w:spacing w:after="0"/>
            </w:pPr>
            <w:r>
              <w:rPr>
                <w:rFonts w:ascii="Arial" w:hAnsi="Arial"/>
                <w:sz w:val="15"/>
              </w:rPr>
              <w:t>Adequate live-data sample; no unexplained mismatches; risk controls, recovery, monitoring, and logging work as designed.</w:t>
            </w:r>
          </w:p>
        </w:tc>
      </w:tr>
      <w:tr>
        <w:trPr>
          <w:cantSplit/>
        </w:trPr>
        <w:tc>
          <w:tcPr>
            <w:tcW w:type="dxa" w:w="2448"/>
            <w:tcMar>
              <w:top w:w="65" w:type="dxa"/>
              <w:start w:w="90" w:type="dxa"/>
              <w:bottom w:w="65" w:type="dxa"/>
              <w:end w:w="90" w:type="dxa"/>
            </w:tcMar>
            <w:shd w:fill="F3F5F7"/>
          </w:tcPr>
          <w:p>
            <w:pPr>
              <w:spacing w:after="0"/>
            </w:pPr>
            <w:r>
              <w:rPr>
                <w:rFonts w:ascii="Arial" w:hAnsi="Arial"/>
                <w:sz w:val="15"/>
              </w:rPr>
              <w:t>G8 — Live authorization</w:t>
            </w:r>
          </w:p>
        </w:tc>
        <w:tc>
          <w:tcPr>
            <w:tcW w:type="dxa" w:w="7920"/>
            <w:tcMar>
              <w:top w:w="65" w:type="dxa"/>
              <w:start w:w="90" w:type="dxa"/>
              <w:bottom w:w="65" w:type="dxa"/>
              <w:end w:w="90" w:type="dxa"/>
            </w:tcMar>
            <w:shd w:fill="F3F5F7"/>
          </w:tcPr>
          <w:p>
            <w:pPr>
              <w:spacing w:after="0"/>
            </w:pPr>
            <w:r>
              <w:rPr>
                <w:rFonts w:ascii="Arial" w:hAnsi="Arial"/>
                <w:sz w:val="15"/>
              </w:rPr>
              <w:t>Unanimous technical approval, Product Owner risk approval, verified current prop/broker terms, frozen configuration, rollback plan, and emergency procedures.</w:t>
            </w:r>
          </w:p>
        </w:tc>
      </w:tr>
      <w:tr>
        <w:trPr>
          <w:cantSplit/>
        </w:trPr>
        <w:tc>
          <w:tcPr>
            <w:tcW w:type="dxa" w:w="2448"/>
            <w:tcMar>
              <w:top w:w="65" w:type="dxa"/>
              <w:start w:w="90" w:type="dxa"/>
              <w:bottom w:w="65" w:type="dxa"/>
              <w:end w:w="90" w:type="dxa"/>
            </w:tcMar>
          </w:tcPr>
          <w:p>
            <w:pPr>
              <w:spacing w:after="0"/>
            </w:pPr>
            <w:r>
              <w:rPr>
                <w:rFonts w:ascii="Arial" w:hAnsi="Arial"/>
                <w:sz w:val="15"/>
              </w:rPr>
              <w:t>G9 — Scale authorization</w:t>
            </w:r>
          </w:p>
        </w:tc>
        <w:tc>
          <w:tcPr>
            <w:tcW w:type="dxa" w:w="7920"/>
            <w:tcMar>
              <w:top w:w="65" w:type="dxa"/>
              <w:start w:w="90" w:type="dxa"/>
              <w:bottom w:w="65" w:type="dxa"/>
              <w:end w:w="90" w:type="dxa"/>
            </w:tcMar>
          </w:tcPr>
          <w:p>
            <w:pPr>
              <w:spacing w:after="0"/>
            </w:pPr>
            <w:r>
              <w:rPr>
                <w:rFonts w:ascii="Arial" w:hAnsi="Arial"/>
                <w:sz w:val="15"/>
              </w:rPr>
              <w:t>Additional live evidence supports increased size/accounts; execution and drawdown remain within tolerance; capital and operational capacity are adequate.</w:t>
            </w:r>
          </w:p>
        </w:tc>
      </w:tr>
    </w:tbl>
    <w:p>
      <w:pPr>
        <w:spacing w:after="0"/>
        <w:widowControl/>
      </w:pPr>
    </w:p>
    <w:p>
      <w:pPr>
        <w:pStyle w:val="Heading1"/>
        <w:pBdr>
          <w:bottom w:val="single" w:sz="8" w:space="3" w:color="B88A2A"/>
        </w:pBdr>
        <w:widowControl/>
      </w:pPr>
      <w:r>
        <w:rPr>
          <w:rFonts w:ascii="Arial" w:hAnsi="Arial"/>
          <w:b/>
          <w:color w:val="172033"/>
          <w:sz w:val="36"/>
        </w:rPr>
        <w:t>21. Risks and Mitigations</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trPr>
        <w:tc>
          <w:tcPr>
            <w:tcW w:type="dxa" w:w="2232"/>
            <w:shd w:fill="172033"/>
            <w:tcMar>
              <w:top w:w="75" w:type="dxa"/>
              <w:start w:w="90" w:type="dxa"/>
              <w:bottom w:w="75" w:type="dxa"/>
              <w:end w:w="90" w:type="dxa"/>
            </w:tcMar>
            <w:vAlign w:val="center"/>
          </w:tcPr>
          <w:p>
            <w:pPr>
              <w:jc w:val="left"/>
            </w:pPr>
            <w:r>
              <w:rPr>
                <w:rFonts w:ascii="Arial" w:hAnsi="Arial"/>
                <w:b/>
                <w:color w:val="FFFFFF"/>
                <w:sz w:val="16"/>
              </w:rPr>
              <w:t>Risk</w:t>
            </w:r>
          </w:p>
        </w:tc>
        <w:tc>
          <w:tcPr>
            <w:tcW w:type="dxa" w:w="2880"/>
            <w:shd w:fill="172033"/>
            <w:tcMar>
              <w:top w:w="75" w:type="dxa"/>
              <w:start w:w="90" w:type="dxa"/>
              <w:bottom w:w="75" w:type="dxa"/>
              <w:end w:w="90" w:type="dxa"/>
            </w:tcMar>
            <w:vAlign w:val="center"/>
          </w:tcPr>
          <w:p>
            <w:pPr>
              <w:jc w:val="left"/>
            </w:pPr>
            <w:r>
              <w:rPr>
                <w:rFonts w:ascii="Arial" w:hAnsi="Arial"/>
                <w:b/>
                <w:color w:val="FFFFFF"/>
                <w:sz w:val="16"/>
              </w:rPr>
              <w:t>Impact</w:t>
            </w:r>
          </w:p>
        </w:tc>
        <w:tc>
          <w:tcPr>
            <w:tcW w:type="dxa" w:w="5256"/>
            <w:shd w:fill="172033"/>
            <w:tcMar>
              <w:top w:w="75" w:type="dxa"/>
              <w:start w:w="90" w:type="dxa"/>
              <w:bottom w:w="75" w:type="dxa"/>
              <w:end w:w="90" w:type="dxa"/>
            </w:tcMar>
            <w:vAlign w:val="center"/>
          </w:tcPr>
          <w:p>
            <w:pPr>
              <w:jc w:val="left"/>
            </w:pPr>
            <w:r>
              <w:rPr>
                <w:rFonts w:ascii="Arial" w:hAnsi="Arial"/>
                <w:b/>
                <w:color w:val="FFFFFF"/>
                <w:sz w:val="16"/>
              </w:rPr>
              <w:t>Mitigation</w:t>
            </w:r>
          </w:p>
        </w:tc>
      </w:tr>
      <w:tr>
        <w:trPr>
          <w:cantSplit/>
        </w:trPr>
        <w:tc>
          <w:tcPr>
            <w:tcW w:type="dxa" w:w="2232"/>
            <w:tcMar>
              <w:top w:w="65" w:type="dxa"/>
              <w:start w:w="90" w:type="dxa"/>
              <w:bottom w:w="65" w:type="dxa"/>
              <w:end w:w="90" w:type="dxa"/>
            </w:tcMar>
          </w:tcPr>
          <w:p>
            <w:pPr>
              <w:spacing w:after="0"/>
            </w:pPr>
            <w:r>
              <w:rPr>
                <w:rFonts w:ascii="Arial" w:hAnsi="Arial"/>
                <w:sz w:val="14"/>
              </w:rPr>
              <w:t>Overfitting and multiple testing</w:t>
            </w:r>
          </w:p>
        </w:tc>
        <w:tc>
          <w:tcPr>
            <w:tcW w:type="dxa" w:w="2880"/>
            <w:tcMar>
              <w:top w:w="65" w:type="dxa"/>
              <w:start w:w="90" w:type="dxa"/>
              <w:bottom w:w="65" w:type="dxa"/>
              <w:end w:w="90" w:type="dxa"/>
            </w:tcMar>
          </w:tcPr>
          <w:p>
            <w:pPr>
              <w:spacing w:after="0"/>
            </w:pPr>
            <w:r>
              <w:rPr>
                <w:rFonts w:ascii="Arial" w:hAnsi="Arial"/>
                <w:sz w:val="14"/>
              </w:rPr>
              <w:t>False edge and strategy failure out of sample.</w:t>
            </w:r>
          </w:p>
        </w:tc>
        <w:tc>
          <w:tcPr>
            <w:tcW w:type="dxa" w:w="5256"/>
            <w:tcMar>
              <w:top w:w="65" w:type="dxa"/>
              <w:start w:w="90" w:type="dxa"/>
              <w:bottom w:w="65" w:type="dxa"/>
              <w:end w:w="90" w:type="dxa"/>
            </w:tcMar>
          </w:tcPr>
          <w:p>
            <w:pPr>
              <w:spacing w:after="0"/>
            </w:pPr>
            <w:r>
              <w:rPr>
                <w:rFonts w:ascii="Arial" w:hAnsi="Arial"/>
                <w:sz w:val="14"/>
              </w:rPr>
              <w:t>Chronological governance, feature registry, false-discovery control, small frozen shortlist, sensitivity tests, and untouched forward data.</w:t>
            </w:r>
          </w:p>
        </w:tc>
      </w:tr>
      <w:tr>
        <w:trPr>
          <w:cantSplit/>
        </w:trPr>
        <w:tc>
          <w:tcPr>
            <w:tcW w:type="dxa" w:w="2232"/>
            <w:tcMar>
              <w:top w:w="65" w:type="dxa"/>
              <w:start w:w="90" w:type="dxa"/>
              <w:bottom w:w="65" w:type="dxa"/>
              <w:end w:w="90" w:type="dxa"/>
            </w:tcMar>
            <w:shd w:fill="F3F5F7"/>
          </w:tcPr>
          <w:p>
            <w:pPr>
              <w:spacing w:after="0"/>
            </w:pPr>
            <w:r>
              <w:rPr>
                <w:rFonts w:ascii="Arial" w:hAnsi="Arial"/>
                <w:sz w:val="14"/>
              </w:rPr>
              <w:t>Lookahead leakage</w:t>
            </w:r>
          </w:p>
        </w:tc>
        <w:tc>
          <w:tcPr>
            <w:tcW w:type="dxa" w:w="2880"/>
            <w:tcMar>
              <w:top w:w="65" w:type="dxa"/>
              <w:start w:w="90" w:type="dxa"/>
              <w:bottom w:w="65" w:type="dxa"/>
              <w:end w:w="90" w:type="dxa"/>
            </w:tcMar>
            <w:shd w:fill="F3F5F7"/>
          </w:tcPr>
          <w:p>
            <w:pPr>
              <w:spacing w:after="0"/>
            </w:pPr>
            <w:r>
              <w:rPr>
                <w:rFonts w:ascii="Arial" w:hAnsi="Arial"/>
                <w:sz w:val="14"/>
              </w:rPr>
              <w:t>Invalid performance and false confidence.</w:t>
            </w:r>
          </w:p>
        </w:tc>
        <w:tc>
          <w:tcPr>
            <w:tcW w:type="dxa" w:w="5256"/>
            <w:tcMar>
              <w:top w:w="65" w:type="dxa"/>
              <w:start w:w="90" w:type="dxa"/>
              <w:bottom w:w="65" w:type="dxa"/>
              <w:end w:w="90" w:type="dxa"/>
            </w:tcMar>
            <w:shd w:fill="F3F5F7"/>
          </w:tcPr>
          <w:p>
            <w:pPr>
              <w:spacing w:after="0"/>
            </w:pPr>
            <w:r>
              <w:rPr>
                <w:rFonts w:ascii="Arial" w:hAnsi="Arial"/>
                <w:sz w:val="14"/>
              </w:rPr>
              <w:t>Availability timestamps, next-bar convention, boundary tests, code review, and synthetic leakage tests.</w:t>
            </w:r>
          </w:p>
        </w:tc>
      </w:tr>
      <w:tr>
        <w:trPr>
          <w:cantSplit/>
        </w:trPr>
        <w:tc>
          <w:tcPr>
            <w:tcW w:type="dxa" w:w="2232"/>
            <w:tcMar>
              <w:top w:w="65" w:type="dxa"/>
              <w:start w:w="90" w:type="dxa"/>
              <w:bottom w:w="65" w:type="dxa"/>
              <w:end w:w="90" w:type="dxa"/>
            </w:tcMar>
          </w:tcPr>
          <w:p>
            <w:pPr>
              <w:spacing w:after="0"/>
            </w:pPr>
            <w:r>
              <w:rPr>
                <w:rFonts w:ascii="Arial" w:hAnsi="Arial"/>
                <w:sz w:val="14"/>
              </w:rPr>
              <w:t>One-minute intrabar ambiguity</w:t>
            </w:r>
          </w:p>
        </w:tc>
        <w:tc>
          <w:tcPr>
            <w:tcW w:type="dxa" w:w="2880"/>
            <w:tcMar>
              <w:top w:w="65" w:type="dxa"/>
              <w:start w:w="90" w:type="dxa"/>
              <w:bottom w:w="65" w:type="dxa"/>
              <w:end w:w="90" w:type="dxa"/>
            </w:tcMar>
          </w:tcPr>
          <w:p>
            <w:pPr>
              <w:spacing w:after="0"/>
            </w:pPr>
            <w:r>
              <w:rPr>
                <w:rFonts w:ascii="Arial" w:hAnsi="Arial"/>
                <w:sz w:val="14"/>
              </w:rPr>
              <w:t>Incorrect stop/target ordering and overstated fills.</w:t>
            </w:r>
          </w:p>
        </w:tc>
        <w:tc>
          <w:tcPr>
            <w:tcW w:type="dxa" w:w="5256"/>
            <w:tcMar>
              <w:top w:w="65" w:type="dxa"/>
              <w:start w:w="90" w:type="dxa"/>
              <w:bottom w:w="65" w:type="dxa"/>
              <w:end w:w="90" w:type="dxa"/>
            </w:tcMar>
          </w:tcPr>
          <w:p>
            <w:pPr>
              <w:spacing w:after="0"/>
            </w:pPr>
            <w:r>
              <w:rPr>
                <w:rFonts w:ascii="Arial" w:hAnsi="Arial"/>
                <w:sz w:val="14"/>
              </w:rPr>
              <w:t>Conservative/excluded ambiguity policies, scenario bounds, and later granular data.</w:t>
            </w:r>
          </w:p>
        </w:tc>
      </w:tr>
      <w:tr>
        <w:trPr>
          <w:cantSplit/>
        </w:trPr>
        <w:tc>
          <w:tcPr>
            <w:tcW w:type="dxa" w:w="2232"/>
            <w:tcMar>
              <w:top w:w="65" w:type="dxa"/>
              <w:start w:w="90" w:type="dxa"/>
              <w:bottom w:w="65" w:type="dxa"/>
              <w:end w:w="90" w:type="dxa"/>
            </w:tcMar>
            <w:shd w:fill="F3F5F7"/>
          </w:tcPr>
          <w:p>
            <w:pPr>
              <w:spacing w:after="0"/>
            </w:pPr>
            <w:r>
              <w:rPr>
                <w:rFonts w:ascii="Arial" w:hAnsi="Arial"/>
                <w:sz w:val="14"/>
              </w:rPr>
              <w:t>GC-to-MGC mismatch</w:t>
            </w:r>
          </w:p>
        </w:tc>
        <w:tc>
          <w:tcPr>
            <w:tcW w:type="dxa" w:w="2880"/>
            <w:tcMar>
              <w:top w:w="65" w:type="dxa"/>
              <w:start w:w="90" w:type="dxa"/>
              <w:bottom w:w="65" w:type="dxa"/>
              <w:end w:w="90" w:type="dxa"/>
            </w:tcMar>
            <w:shd w:fill="F3F5F7"/>
          </w:tcPr>
          <w:p>
            <w:pPr>
              <w:spacing w:after="0"/>
            </w:pPr>
            <w:r>
              <w:rPr>
                <w:rFonts w:ascii="Arial" w:hAnsi="Arial"/>
                <w:sz w:val="14"/>
              </w:rPr>
              <w:t>Signal quality or fills degrade at execution.</w:t>
            </w:r>
          </w:p>
        </w:tc>
        <w:tc>
          <w:tcPr>
            <w:tcW w:type="dxa" w:w="5256"/>
            <w:tcMar>
              <w:top w:w="65" w:type="dxa"/>
              <w:start w:w="90" w:type="dxa"/>
              <w:bottom w:w="65" w:type="dxa"/>
              <w:end w:w="90" w:type="dxa"/>
            </w:tcMar>
            <w:shd w:fill="F3F5F7"/>
          </w:tcPr>
          <w:p>
            <w:pPr>
              <w:spacing w:after="0"/>
            </w:pPr>
            <w:r>
              <w:rPr>
                <w:rFonts w:ascii="Arial" w:hAnsi="Arial"/>
                <w:sz w:val="14"/>
              </w:rPr>
              <w:t>Dedicated transfer study using synchronized prices, spread, liquidity, and slippage.</w:t>
            </w:r>
          </w:p>
        </w:tc>
      </w:tr>
      <w:tr>
        <w:trPr>
          <w:cantSplit/>
        </w:trPr>
        <w:tc>
          <w:tcPr>
            <w:tcW w:type="dxa" w:w="2232"/>
            <w:tcMar>
              <w:top w:w="65" w:type="dxa"/>
              <w:start w:w="90" w:type="dxa"/>
              <w:bottom w:w="65" w:type="dxa"/>
              <w:end w:w="90" w:type="dxa"/>
            </w:tcMar>
          </w:tcPr>
          <w:p>
            <w:pPr>
              <w:spacing w:after="0"/>
            </w:pPr>
            <w:r>
              <w:rPr>
                <w:rFonts w:ascii="Arial" w:hAnsi="Arial"/>
                <w:sz w:val="14"/>
              </w:rPr>
              <w:t>Prop-firm rule changes</w:t>
            </w:r>
          </w:p>
        </w:tc>
        <w:tc>
          <w:tcPr>
            <w:tcW w:type="dxa" w:w="2880"/>
            <w:tcMar>
              <w:top w:w="65" w:type="dxa"/>
              <w:start w:w="90" w:type="dxa"/>
              <w:bottom w:w="65" w:type="dxa"/>
              <w:end w:w="90" w:type="dxa"/>
            </w:tcMar>
          </w:tcPr>
          <w:p>
            <w:pPr>
              <w:spacing w:after="0"/>
            </w:pPr>
            <w:r>
              <w:rPr>
                <w:rFonts w:ascii="Arial" w:hAnsi="Arial"/>
                <w:sz w:val="14"/>
              </w:rPr>
              <w:t>Unexpected breach or unusable strategy.</w:t>
            </w:r>
          </w:p>
        </w:tc>
        <w:tc>
          <w:tcPr>
            <w:tcW w:type="dxa" w:w="5256"/>
            <w:tcMar>
              <w:top w:w="65" w:type="dxa"/>
              <w:start w:w="90" w:type="dxa"/>
              <w:bottom w:w="65" w:type="dxa"/>
              <w:end w:w="90" w:type="dxa"/>
            </w:tcMar>
          </w:tcPr>
          <w:p>
            <w:pPr>
              <w:spacing w:after="0"/>
            </w:pPr>
            <w:r>
              <w:rPr>
                <w:rFonts w:ascii="Arial" w:hAnsi="Arial"/>
                <w:sz w:val="14"/>
              </w:rPr>
              <w:t>Versioned policy configuration, effective dates, pre-deployment verification, and stricter internal buffers.</w:t>
            </w:r>
          </w:p>
        </w:tc>
      </w:tr>
      <w:tr>
        <w:trPr>
          <w:cantSplit/>
        </w:trPr>
        <w:tc>
          <w:tcPr>
            <w:tcW w:type="dxa" w:w="2232"/>
            <w:tcMar>
              <w:top w:w="65" w:type="dxa"/>
              <w:start w:w="90" w:type="dxa"/>
              <w:bottom w:w="65" w:type="dxa"/>
              <w:end w:w="90" w:type="dxa"/>
            </w:tcMar>
            <w:shd w:fill="F3F5F7"/>
          </w:tcPr>
          <w:p>
            <w:pPr>
              <w:spacing w:after="0"/>
            </w:pPr>
            <w:r>
              <w:rPr>
                <w:rFonts w:ascii="Arial" w:hAnsi="Arial"/>
                <w:sz w:val="14"/>
              </w:rPr>
              <w:t>Simulator-to-live gap</w:t>
            </w:r>
          </w:p>
        </w:tc>
        <w:tc>
          <w:tcPr>
            <w:tcW w:type="dxa" w:w="2880"/>
            <w:tcMar>
              <w:top w:w="65" w:type="dxa"/>
              <w:start w:w="90" w:type="dxa"/>
              <w:bottom w:w="65" w:type="dxa"/>
              <w:end w:w="90" w:type="dxa"/>
            </w:tcMar>
            <w:shd w:fill="F3F5F7"/>
          </w:tcPr>
          <w:p>
            <w:pPr>
              <w:spacing w:after="0"/>
            </w:pPr>
            <w:r>
              <w:rPr>
                <w:rFonts w:ascii="Arial" w:hAnsi="Arial"/>
                <w:sz w:val="14"/>
              </w:rPr>
              <w:t>Paper results fail in real operation.</w:t>
            </w:r>
          </w:p>
        </w:tc>
        <w:tc>
          <w:tcPr>
            <w:tcW w:type="dxa" w:w="5256"/>
            <w:tcMar>
              <w:top w:w="65" w:type="dxa"/>
              <w:start w:w="90" w:type="dxa"/>
              <w:bottom w:w="65" w:type="dxa"/>
              <w:end w:w="90" w:type="dxa"/>
            </w:tcMar>
            <w:shd w:fill="F3F5F7"/>
          </w:tcPr>
          <w:p>
            <w:pPr>
              <w:spacing w:after="0"/>
            </w:pPr>
            <w:r>
              <w:rPr>
                <w:rFonts w:ascii="Arial" w:hAnsi="Arial"/>
                <w:sz w:val="14"/>
              </w:rPr>
              <w:t>Pessimistic assumptions, shadow testing, minimum live size, detailed telemetry, and gradual scale-up.</w:t>
            </w:r>
          </w:p>
        </w:tc>
      </w:tr>
      <w:tr>
        <w:trPr>
          <w:cantSplit/>
        </w:trPr>
        <w:tc>
          <w:tcPr>
            <w:tcW w:type="dxa" w:w="2232"/>
            <w:tcMar>
              <w:top w:w="65" w:type="dxa"/>
              <w:start w:w="90" w:type="dxa"/>
              <w:bottom w:w="65" w:type="dxa"/>
              <w:end w:w="90" w:type="dxa"/>
            </w:tcMar>
          </w:tcPr>
          <w:p>
            <w:pPr>
              <w:spacing w:after="0"/>
            </w:pPr>
            <w:r>
              <w:rPr>
                <w:rFonts w:ascii="Arial" w:hAnsi="Arial"/>
                <w:sz w:val="14"/>
              </w:rPr>
              <w:t>Operational failure</w:t>
            </w:r>
          </w:p>
        </w:tc>
        <w:tc>
          <w:tcPr>
            <w:tcW w:type="dxa" w:w="2880"/>
            <w:tcMar>
              <w:top w:w="65" w:type="dxa"/>
              <w:start w:w="90" w:type="dxa"/>
              <w:bottom w:w="65" w:type="dxa"/>
              <w:end w:w="90" w:type="dxa"/>
            </w:tcMar>
          </w:tcPr>
          <w:p>
            <w:pPr>
              <w:spacing w:after="0"/>
            </w:pPr>
            <w:r>
              <w:rPr>
                <w:rFonts w:ascii="Arial" w:hAnsi="Arial"/>
                <w:sz w:val="14"/>
              </w:rPr>
              <w:t>Duplicate orders, unhedged position, or account breach.</w:t>
            </w:r>
          </w:p>
        </w:tc>
        <w:tc>
          <w:tcPr>
            <w:tcW w:type="dxa" w:w="5256"/>
            <w:tcMar>
              <w:top w:w="65" w:type="dxa"/>
              <w:start w:w="90" w:type="dxa"/>
              <w:bottom w:w="65" w:type="dxa"/>
              <w:end w:w="90" w:type="dxa"/>
            </w:tcMar>
          </w:tcPr>
          <w:p>
            <w:pPr>
              <w:spacing w:after="0"/>
            </w:pPr>
            <w:r>
              <w:rPr>
                <w:rFonts w:ascii="Arial" w:hAnsi="Arial"/>
                <w:sz w:val="14"/>
              </w:rPr>
              <w:t>Idempotent order handling, reconciliation, durable state, kill switches, and fail-closed design.</w:t>
            </w:r>
          </w:p>
        </w:tc>
      </w:tr>
      <w:tr>
        <w:trPr>
          <w:cantSplit/>
        </w:trPr>
        <w:tc>
          <w:tcPr>
            <w:tcW w:type="dxa" w:w="2232"/>
            <w:tcMar>
              <w:top w:w="65" w:type="dxa"/>
              <w:start w:w="90" w:type="dxa"/>
              <w:bottom w:w="65" w:type="dxa"/>
              <w:end w:w="90" w:type="dxa"/>
            </w:tcMar>
            <w:shd w:fill="F3F5F7"/>
          </w:tcPr>
          <w:p>
            <w:pPr>
              <w:spacing w:after="0"/>
            </w:pPr>
            <w:r>
              <w:rPr>
                <w:rFonts w:ascii="Arial" w:hAnsi="Arial"/>
                <w:sz w:val="14"/>
              </w:rPr>
              <w:t>Team knowledge imbalance</w:t>
            </w:r>
          </w:p>
        </w:tc>
        <w:tc>
          <w:tcPr>
            <w:tcW w:type="dxa" w:w="2880"/>
            <w:tcMar>
              <w:top w:w="65" w:type="dxa"/>
              <w:start w:w="90" w:type="dxa"/>
              <w:bottom w:w="65" w:type="dxa"/>
              <w:end w:w="90" w:type="dxa"/>
            </w:tcMar>
            <w:shd w:fill="F3F5F7"/>
          </w:tcPr>
          <w:p>
            <w:pPr>
              <w:spacing w:after="0"/>
            </w:pPr>
            <w:r>
              <w:rPr>
                <w:rFonts w:ascii="Arial" w:hAnsi="Arial"/>
                <w:sz w:val="14"/>
              </w:rPr>
              <w:t>Market logic or research methodology is misunderstood.</w:t>
            </w:r>
          </w:p>
        </w:tc>
        <w:tc>
          <w:tcPr>
            <w:tcW w:type="dxa" w:w="5256"/>
            <w:tcMar>
              <w:top w:w="65" w:type="dxa"/>
              <w:start w:w="90" w:type="dxa"/>
              <w:bottom w:w="65" w:type="dxa"/>
              <w:end w:w="90" w:type="dxa"/>
            </w:tcMar>
            <w:shd w:fill="F3F5F7"/>
          </w:tcPr>
          <w:p>
            <w:pPr>
              <w:spacing w:after="0"/>
            </w:pPr>
            <w:r>
              <w:rPr>
                <w:rFonts w:ascii="Arial" w:hAnsi="Arial"/>
                <w:sz w:val="14"/>
              </w:rPr>
              <w:t>Written specifications, paired reviews, partner onboarding, glossary, and decision records.</w:t>
            </w:r>
          </w:p>
        </w:tc>
      </w:tr>
      <w:tr>
        <w:trPr>
          <w:cantSplit/>
        </w:trPr>
        <w:tc>
          <w:tcPr>
            <w:tcW w:type="dxa" w:w="2232"/>
            <w:tcMar>
              <w:top w:w="65" w:type="dxa"/>
              <w:start w:w="90" w:type="dxa"/>
              <w:bottom w:w="65" w:type="dxa"/>
              <w:end w:w="90" w:type="dxa"/>
            </w:tcMar>
          </w:tcPr>
          <w:p>
            <w:pPr>
              <w:spacing w:after="0"/>
            </w:pPr>
            <w:r>
              <w:rPr>
                <w:rFonts w:ascii="Arial" w:hAnsi="Arial"/>
                <w:sz w:val="14"/>
              </w:rPr>
              <w:t>Data/licensing exposure</w:t>
            </w:r>
          </w:p>
        </w:tc>
        <w:tc>
          <w:tcPr>
            <w:tcW w:type="dxa" w:w="2880"/>
            <w:tcMar>
              <w:top w:w="65" w:type="dxa"/>
              <w:start w:w="90" w:type="dxa"/>
              <w:bottom w:w="65" w:type="dxa"/>
              <w:end w:w="90" w:type="dxa"/>
            </w:tcMar>
          </w:tcPr>
          <w:p>
            <w:pPr>
              <w:spacing w:after="0"/>
            </w:pPr>
            <w:r>
              <w:rPr>
                <w:rFonts w:ascii="Arial" w:hAnsi="Arial"/>
                <w:sz w:val="14"/>
              </w:rPr>
              <w:t>Unauthorized redistribution or loss of access.</w:t>
            </w:r>
          </w:p>
        </w:tc>
        <w:tc>
          <w:tcPr>
            <w:tcW w:type="dxa" w:w="5256"/>
            <w:tcMar>
              <w:top w:w="65" w:type="dxa"/>
              <w:start w:w="90" w:type="dxa"/>
              <w:bottom w:w="65" w:type="dxa"/>
              <w:end w:w="90" w:type="dxa"/>
            </w:tcMar>
          </w:tcPr>
          <w:p>
            <w:pPr>
              <w:spacing w:after="0"/>
            </w:pPr>
            <w:r>
              <w:rPr>
                <w:rFonts w:ascii="Arial" w:hAnsi="Arial"/>
                <w:sz w:val="14"/>
              </w:rPr>
              <w:t>Private repository, no data in Git, approved credentials, and explicit data access arrangements.</w:t>
            </w:r>
          </w:p>
        </w:tc>
      </w:tr>
      <w:tr>
        <w:trPr>
          <w:cantSplit/>
        </w:trPr>
        <w:tc>
          <w:tcPr>
            <w:tcW w:type="dxa" w:w="2232"/>
            <w:tcMar>
              <w:top w:w="65" w:type="dxa"/>
              <w:start w:w="90" w:type="dxa"/>
              <w:bottom w:w="65" w:type="dxa"/>
              <w:end w:w="90" w:type="dxa"/>
            </w:tcMar>
            <w:shd w:fill="F3F5F7"/>
          </w:tcPr>
          <w:p>
            <w:pPr>
              <w:spacing w:after="0"/>
            </w:pPr>
            <w:r>
              <w:rPr>
                <w:rFonts w:ascii="Arial" w:hAnsi="Arial"/>
                <w:sz w:val="14"/>
              </w:rPr>
              <w:t>Researcher discretion after results</w:t>
            </w:r>
          </w:p>
        </w:tc>
        <w:tc>
          <w:tcPr>
            <w:tcW w:type="dxa" w:w="2880"/>
            <w:tcMar>
              <w:top w:w="65" w:type="dxa"/>
              <w:start w:w="90" w:type="dxa"/>
              <w:bottom w:w="65" w:type="dxa"/>
              <w:end w:w="90" w:type="dxa"/>
            </w:tcMar>
            <w:shd w:fill="F3F5F7"/>
          </w:tcPr>
          <w:p>
            <w:pPr>
              <w:spacing w:after="0"/>
            </w:pPr>
            <w:r>
              <w:rPr>
                <w:rFonts w:ascii="Arial" w:hAnsi="Arial"/>
                <w:sz w:val="14"/>
              </w:rPr>
              <w:t>Hidden overfitting and irreproducibility.</w:t>
            </w:r>
          </w:p>
        </w:tc>
        <w:tc>
          <w:tcPr>
            <w:tcW w:type="dxa" w:w="5256"/>
            <w:tcMar>
              <w:top w:w="65" w:type="dxa"/>
              <w:start w:w="90" w:type="dxa"/>
              <w:bottom w:w="65" w:type="dxa"/>
              <w:end w:w="90" w:type="dxa"/>
            </w:tcMar>
            <w:shd w:fill="F3F5F7"/>
          </w:tcPr>
          <w:p>
            <w:pPr>
              <w:spacing w:after="0"/>
            </w:pPr>
            <w:r>
              <w:rPr>
                <w:rFonts w:ascii="Arial" w:hAnsi="Arial"/>
                <w:sz w:val="14"/>
              </w:rPr>
              <w:t>Predeclared hypotheses/thresholds, immutable run artifacts, and logged decision rationale.</w:t>
            </w:r>
          </w:p>
        </w:tc>
      </w:tr>
      <w:tr>
        <w:trPr>
          <w:cantSplit/>
        </w:trPr>
        <w:tc>
          <w:tcPr>
            <w:tcW w:type="dxa" w:w="2232"/>
            <w:tcMar>
              <w:top w:w="65" w:type="dxa"/>
              <w:start w:w="90" w:type="dxa"/>
              <w:bottom w:w="65" w:type="dxa"/>
              <w:end w:w="90" w:type="dxa"/>
            </w:tcMar>
          </w:tcPr>
          <w:p>
            <w:pPr>
              <w:spacing w:after="0"/>
            </w:pPr>
            <w:r>
              <w:rPr>
                <w:rFonts w:ascii="Arial" w:hAnsi="Arial"/>
                <w:sz w:val="14"/>
              </w:rPr>
              <w:t>Capital pressure</w:t>
            </w:r>
          </w:p>
        </w:tc>
        <w:tc>
          <w:tcPr>
            <w:tcW w:type="dxa" w:w="2880"/>
            <w:tcMar>
              <w:top w:w="65" w:type="dxa"/>
              <w:start w:w="90" w:type="dxa"/>
              <w:bottom w:w="65" w:type="dxa"/>
              <w:end w:w="90" w:type="dxa"/>
            </w:tcMar>
          </w:tcPr>
          <w:p>
            <w:pPr>
              <w:spacing w:after="0"/>
            </w:pPr>
            <w:r>
              <w:rPr>
                <w:rFonts w:ascii="Arial" w:hAnsi="Arial"/>
                <w:sz w:val="14"/>
              </w:rPr>
              <w:t>Risk limits are loosened to pass evaluations quickly.</w:t>
            </w:r>
          </w:p>
        </w:tc>
        <w:tc>
          <w:tcPr>
            <w:tcW w:type="dxa" w:w="5256"/>
            <w:tcMar>
              <w:top w:w="65" w:type="dxa"/>
              <w:start w:w="90" w:type="dxa"/>
              <w:bottom w:w="65" w:type="dxa"/>
              <w:end w:w="90" w:type="dxa"/>
            </w:tcMar>
          </w:tcPr>
          <w:p>
            <w:pPr>
              <w:spacing w:after="0"/>
            </w:pPr>
            <w:r>
              <w:rPr>
                <w:rFonts w:ascii="Arial" w:hAnsi="Arial"/>
                <w:sz w:val="14"/>
              </w:rPr>
              <w:t>Risk budget is frozen before the evaluation; no mid-campaign strategy changes or revenge scaling.</w:t>
            </w:r>
          </w:p>
        </w:tc>
      </w:tr>
    </w:tbl>
    <w:p>
      <w:pPr>
        <w:spacing w:after="0"/>
        <w:widowControl/>
      </w:pPr>
    </w:p>
    <w:p>
      <w:pPr>
        <w:pStyle w:val="Heading1"/>
        <w:pBdr>
          <w:bottom w:val="single" w:sz="8" w:space="3" w:color="B88A2A"/>
        </w:pBdr>
        <w:widowControl/>
      </w:pPr>
      <w:r>
        <w:rPr>
          <w:rFonts w:ascii="Arial" w:hAnsi="Arial"/>
          <w:b/>
          <w:color w:val="172033"/>
          <w:sz w:val="36"/>
        </w:rPr>
        <w:t>22. Open Decisions for Partner Review</w:t>
      </w:r>
    </w:p>
    <w:p>
      <w:pPr>
        <w:widowControl/>
      </w:pPr>
      <w:r>
        <w:rPr>
          <w:rFonts w:ascii="Arial" w:hAnsi="Arial"/>
          <w:i w:val="0"/>
        </w:rPr>
        <w:t>The following decisions are intentionally left open. They should be resolved during onboarding and captured as versioned project decisions rather than informal chat agreements.</w:t>
      </w:r>
    </w:p>
    <w:p>
      <w:pPr>
        <w:pStyle w:val="ListBullet"/>
        <w:spacing w:after="40"/>
        <w:ind w:left="317" w:hanging="173"/>
        <w:widowControl/>
      </w:pPr>
      <w:r>
        <w:rPr>
          <w:rFonts w:ascii="Arial" w:hAnsi="Arial"/>
        </w:rPr>
        <w:t>Partner names, primary role allocation, and backup ownership for research, platform, and execution responsibilities.</w:t>
      </w:r>
    </w:p>
    <w:p>
      <w:pPr>
        <w:pStyle w:val="ListBullet"/>
        <w:spacing w:after="40"/>
        <w:ind w:left="317" w:hanging="173"/>
        <w:widowControl/>
      </w:pPr>
      <w:r>
        <w:rPr>
          <w:rFonts w:ascii="Arial" w:hAnsi="Arial"/>
        </w:rPr>
        <w:t>The first target futures prop firm, account/evaluation type, effective rule set, and automation permissions.</w:t>
      </w:r>
    </w:p>
    <w:p>
      <w:pPr>
        <w:pStyle w:val="ListBullet"/>
        <w:spacing w:after="40"/>
        <w:ind w:left="317" w:hanging="173"/>
        <w:widowControl/>
      </w:pPr>
      <w:r>
        <w:rPr>
          <w:rFonts w:ascii="Arial" w:hAnsi="Arial"/>
        </w:rPr>
        <w:t>The initial live architecture: approved third-party platform, Rithmic API path, execution language, hosting environment, and monitoring stack.</w:t>
      </w:r>
    </w:p>
    <w:p>
      <w:pPr>
        <w:pStyle w:val="ListBullet"/>
        <w:spacing w:after="40"/>
        <w:ind w:left="317" w:hanging="173"/>
        <w:widowControl/>
      </w:pPr>
      <w:r>
        <w:rPr>
          <w:rFonts w:ascii="Arial" w:hAnsi="Arial"/>
        </w:rPr>
        <w:t>Whether the first deployable product is POI-only, statistical-only, or hybrid; the long-term hybrid objective does not require delaying a separately validated subsystem.</w:t>
      </w:r>
    </w:p>
    <w:p>
      <w:pPr>
        <w:pStyle w:val="ListBullet"/>
        <w:spacing w:after="40"/>
        <w:ind w:left="317" w:hanging="173"/>
        <w:widowControl/>
      </w:pPr>
      <w:r>
        <w:rPr>
          <w:rFonts w:ascii="Arial" w:hAnsi="Arial"/>
        </w:rPr>
        <w:t>The first formal position-sizing and internal drawdown-buffer policy.</w:t>
      </w:r>
    </w:p>
    <w:p>
      <w:pPr>
        <w:pStyle w:val="ListBullet"/>
        <w:spacing w:after="40"/>
        <w:ind w:left="317" w:hanging="173"/>
        <w:widowControl/>
      </w:pPr>
      <w:r>
        <w:rPr>
          <w:rFonts w:ascii="Arial" w:hAnsi="Arial"/>
        </w:rPr>
        <w:t>The exact paper-test sample requirement and acceptable execution/reliability tolerances.</w:t>
      </w:r>
    </w:p>
    <w:p>
      <w:pPr>
        <w:pStyle w:val="ListBullet"/>
        <w:spacing w:after="40"/>
        <w:ind w:left="317" w:hanging="173"/>
        <w:widowControl/>
      </w:pPr>
      <w:r>
        <w:rPr>
          <w:rFonts w:ascii="Arial" w:hAnsi="Arial"/>
        </w:rPr>
        <w:t>The method for obtaining a new clean holdout after the current final-test period received limited exposure.</w:t>
      </w:r>
    </w:p>
    <w:p>
      <w:pPr>
        <w:pStyle w:val="ListBullet"/>
        <w:spacing w:after="40"/>
        <w:ind w:left="317" w:hanging="173"/>
        <w:widowControl/>
      </w:pPr>
      <w:r>
        <w:rPr>
          <w:rFonts w:ascii="Arial" w:hAnsi="Arial"/>
        </w:rPr>
        <w:t>When a TBBO/MBP/MBO data budget is justified and which order-flow hypothesis will be tested first.</w:t>
      </w:r>
    </w:p>
    <w:p>
      <w:pPr>
        <w:pStyle w:val="ListBullet"/>
        <w:spacing w:after="40"/>
        <w:ind w:left="317" w:hanging="173"/>
        <w:widowControl/>
      </w:pPr>
      <w:r>
        <w:rPr>
          <w:rFonts w:ascii="Arial" w:hAnsi="Arial"/>
        </w:rPr>
        <w:t>Intellectual-property ownership, partner equity/economics, expense approval, and decision rights outside technical research.</w:t>
      </w:r>
    </w:p>
    <w:p>
      <w:pPr>
        <w:pStyle w:val="Heading1"/>
        <w:pBdr>
          <w:bottom w:val="single" w:sz="8" w:space="3" w:color="B88A2A"/>
        </w:pBdr>
        <w:widowControl/>
      </w:pPr>
      <w:r>
        <w:rPr>
          <w:rFonts w:ascii="Arial" w:hAnsi="Arial"/>
          <w:b/>
          <w:color w:val="172033"/>
          <w:sz w:val="36"/>
        </w:rPr>
        <w:t>23. Partner Onboarding Checklist</w:t>
      </w:r>
    </w:p>
    <w:p>
      <w:pPr>
        <w:spacing w:after="40"/>
        <w:ind w:left="346" w:hanging="259"/>
        <w:widowControl/>
      </w:pPr>
      <w:r>
        <w:rPr>
          <w:rFonts w:ascii="Arial" w:hAnsi="Arial"/>
          <w:b/>
          <w:color w:val="172033"/>
        </w:rPr>
        <w:t xml:space="preserve">1. </w:t>
      </w:r>
      <w:r>
        <w:rPr>
          <w:rFonts w:ascii="Arial" w:hAnsi="Arial"/>
        </w:rPr>
        <w:t>Read the repository README and both project context reports in the documented order.</w:t>
      </w:r>
    </w:p>
    <w:p>
      <w:pPr>
        <w:spacing w:after="40"/>
        <w:ind w:left="346" w:hanging="259"/>
        <w:widowControl/>
      </w:pPr>
      <w:r>
        <w:rPr>
          <w:rFonts w:ascii="Arial" w:hAnsi="Arial"/>
          <w:b/>
          <w:color w:val="172033"/>
        </w:rPr>
        <w:t xml:space="preserve">2. </w:t>
      </w:r>
      <w:r>
        <w:rPr>
          <w:rFonts w:ascii="Arial" w:hAnsi="Arial"/>
        </w:rPr>
        <w:t>Obtain private GitHub repository access and clone using the approved SSH or HTTPS workflow.</w:t>
      </w:r>
    </w:p>
    <w:p>
      <w:pPr>
        <w:spacing w:after="40"/>
        <w:ind w:left="346" w:hanging="259"/>
        <w:widowControl/>
      </w:pPr>
      <w:r>
        <w:rPr>
          <w:rFonts w:ascii="Arial" w:hAnsi="Arial"/>
          <w:b/>
          <w:color w:val="172033"/>
        </w:rPr>
        <w:t xml:space="preserve">3. </w:t>
      </w:r>
      <w:r>
        <w:rPr>
          <w:rFonts w:ascii="Arial" w:hAnsi="Arial"/>
        </w:rPr>
        <w:t>Create the project environment and run the complete automated test suite.</w:t>
      </w:r>
    </w:p>
    <w:p>
      <w:pPr>
        <w:spacing w:after="40"/>
        <w:ind w:left="346" w:hanging="259"/>
        <w:widowControl/>
      </w:pPr>
      <w:r>
        <w:rPr>
          <w:rFonts w:ascii="Arial" w:hAnsi="Arial"/>
          <w:b/>
          <w:color w:val="172033"/>
        </w:rPr>
        <w:t xml:space="preserve">4. </w:t>
      </w:r>
      <w:r>
        <w:rPr>
          <w:rFonts w:ascii="Arial" w:hAnsi="Arial"/>
        </w:rPr>
        <w:t>Obtain authorized access to the required Databento data; do not request that market data be committed to Git.</w:t>
      </w:r>
    </w:p>
    <w:p>
      <w:pPr>
        <w:spacing w:after="40"/>
        <w:ind w:left="346" w:hanging="259"/>
        <w:widowControl/>
      </w:pPr>
      <w:r>
        <w:rPr>
          <w:rFonts w:ascii="Arial" w:hAnsi="Arial"/>
          <w:b/>
          <w:color w:val="172033"/>
        </w:rPr>
        <w:t xml:space="preserve">5. </w:t>
      </w:r>
      <w:r>
        <w:rPr>
          <w:rFonts w:ascii="Arial" w:hAnsi="Arial"/>
        </w:rPr>
        <w:t>Reproduce one completed POI artifact and one completed statistical-research artifact.</w:t>
      </w:r>
    </w:p>
    <w:p>
      <w:pPr>
        <w:spacing w:after="40"/>
        <w:ind w:left="346" w:hanging="259"/>
        <w:widowControl/>
      </w:pPr>
      <w:r>
        <w:rPr>
          <w:rFonts w:ascii="Arial" w:hAnsi="Arial"/>
          <w:b/>
          <w:color w:val="172033"/>
        </w:rPr>
        <w:t xml:space="preserve">6. </w:t>
      </w:r>
      <w:r>
        <w:rPr>
          <w:rFonts w:ascii="Arial" w:hAnsi="Arial"/>
        </w:rPr>
        <w:t>Review the no-lookahead contract, chronological partitions, session rules, and current implementation boundaries.</w:t>
      </w:r>
    </w:p>
    <w:p>
      <w:pPr>
        <w:spacing w:after="40"/>
        <w:ind w:left="346" w:hanging="259"/>
        <w:widowControl/>
      </w:pPr>
      <w:r>
        <w:rPr>
          <w:rFonts w:ascii="Arial" w:hAnsi="Arial"/>
          <w:b/>
          <w:color w:val="172033"/>
        </w:rPr>
        <w:t xml:space="preserve">7. </w:t>
      </w:r>
      <w:r>
        <w:rPr>
          <w:rFonts w:ascii="Arial" w:hAnsi="Arial"/>
        </w:rPr>
        <w:t>Agree on role ownership, review requirements, communication cadence, and first milestone.</w:t>
      </w:r>
    </w:p>
    <w:p>
      <w:pPr>
        <w:spacing w:after="40"/>
        <w:ind w:left="346" w:hanging="259"/>
        <w:widowControl/>
      </w:pPr>
      <w:r>
        <w:rPr>
          <w:rFonts w:ascii="Arial" w:hAnsi="Arial"/>
          <w:b/>
          <w:color w:val="172033"/>
        </w:rPr>
        <w:t xml:space="preserve">8. </w:t>
      </w:r>
      <w:r>
        <w:rPr>
          <w:rFonts w:ascii="Arial" w:hAnsi="Arial"/>
        </w:rPr>
        <w:t>Sign off on confidentiality, data licensing, and live-capital approval rules.</w:t>
      </w:r>
    </w:p>
    <w:p>
      <w:pPr>
        <w:pStyle w:val="Heading1"/>
        <w:pBdr>
          <w:bottom w:val="single" w:sz="8" w:space="3" w:color="B88A2A"/>
        </w:pBdr>
        <w:widowControl/>
      </w:pPr>
      <w:r>
        <w:rPr>
          <w:rFonts w:ascii="Arial" w:hAnsi="Arial"/>
          <w:b/>
          <w:color w:val="172033"/>
          <w:sz w:val="36"/>
        </w:rPr>
        <w:t>24. Glossary</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448"/>
            <w:shd w:fill="172033"/>
            <w:tcMar>
              <w:top w:w="75" w:type="dxa"/>
              <w:start w:w="90" w:type="dxa"/>
              <w:bottom w:w="75" w:type="dxa"/>
              <w:end w:w="90" w:type="dxa"/>
            </w:tcMar>
            <w:vAlign w:val="center"/>
          </w:tcPr>
          <w:p>
            <w:pPr>
              <w:jc w:val="left"/>
            </w:pPr>
            <w:r>
              <w:rPr>
                <w:rFonts w:ascii="Arial" w:hAnsi="Arial"/>
                <w:b/>
                <w:color w:val="FFFFFF"/>
                <w:sz w:val="16"/>
              </w:rPr>
              <w:t>Term</w:t>
            </w:r>
          </w:p>
        </w:tc>
        <w:tc>
          <w:tcPr>
            <w:tcW w:type="dxa" w:w="7920"/>
            <w:shd w:fill="172033"/>
            <w:tcMar>
              <w:top w:w="75" w:type="dxa"/>
              <w:start w:w="90" w:type="dxa"/>
              <w:bottom w:w="75" w:type="dxa"/>
              <w:end w:w="90" w:type="dxa"/>
            </w:tcMar>
            <w:vAlign w:val="center"/>
          </w:tcPr>
          <w:p>
            <w:pPr>
              <w:jc w:val="left"/>
            </w:pPr>
            <w:r>
              <w:rPr>
                <w:rFonts w:ascii="Arial" w:hAnsi="Arial"/>
                <w:b/>
                <w:color w:val="FFFFFF"/>
                <w:sz w:val="16"/>
              </w:rPr>
              <w:t>Meaning in this project</w:t>
            </w:r>
          </w:p>
        </w:tc>
      </w:tr>
      <w:tr>
        <w:trPr>
          <w:cantSplit/>
        </w:trPr>
        <w:tc>
          <w:tcPr>
            <w:tcW w:type="dxa" w:w="2448"/>
            <w:tcMar>
              <w:top w:w="65" w:type="dxa"/>
              <w:start w:w="90" w:type="dxa"/>
              <w:bottom w:w="65" w:type="dxa"/>
              <w:end w:w="90" w:type="dxa"/>
            </w:tcMar>
          </w:tcPr>
          <w:p>
            <w:pPr>
              <w:spacing w:after="0"/>
            </w:pPr>
            <w:r>
              <w:rPr>
                <w:rFonts w:ascii="Arial" w:hAnsi="Arial"/>
                <w:sz w:val="15"/>
              </w:rPr>
              <w:t>GC</w:t>
            </w:r>
          </w:p>
        </w:tc>
        <w:tc>
          <w:tcPr>
            <w:tcW w:type="dxa" w:w="7920"/>
            <w:tcMar>
              <w:top w:w="65" w:type="dxa"/>
              <w:start w:w="90" w:type="dxa"/>
              <w:bottom w:w="65" w:type="dxa"/>
              <w:end w:w="90" w:type="dxa"/>
            </w:tcMar>
          </w:tcPr>
          <w:p>
            <w:pPr>
              <w:spacing w:after="0"/>
            </w:pPr>
            <w:r>
              <w:rPr>
                <w:rFonts w:ascii="Arial" w:hAnsi="Arial"/>
                <w:sz w:val="15"/>
              </w:rPr>
              <w:t>COMEX Gold Futures; 100 troy ounces; primary research instrument.</w:t>
            </w:r>
          </w:p>
        </w:tc>
      </w:tr>
      <w:tr>
        <w:trPr>
          <w:cantSplit/>
        </w:trPr>
        <w:tc>
          <w:tcPr>
            <w:tcW w:type="dxa" w:w="2448"/>
            <w:tcMar>
              <w:top w:w="65" w:type="dxa"/>
              <w:start w:w="90" w:type="dxa"/>
              <w:bottom w:w="65" w:type="dxa"/>
              <w:end w:w="90" w:type="dxa"/>
            </w:tcMar>
            <w:shd w:fill="F3F5F7"/>
          </w:tcPr>
          <w:p>
            <w:pPr>
              <w:spacing w:after="0"/>
            </w:pPr>
            <w:r>
              <w:rPr>
                <w:rFonts w:ascii="Arial" w:hAnsi="Arial"/>
                <w:sz w:val="15"/>
              </w:rPr>
              <w:t>MGC</w:t>
            </w:r>
          </w:p>
        </w:tc>
        <w:tc>
          <w:tcPr>
            <w:tcW w:type="dxa" w:w="7920"/>
            <w:tcMar>
              <w:top w:w="65" w:type="dxa"/>
              <w:start w:w="90" w:type="dxa"/>
              <w:bottom w:w="65" w:type="dxa"/>
              <w:end w:w="90" w:type="dxa"/>
            </w:tcMar>
            <w:shd w:fill="F3F5F7"/>
          </w:tcPr>
          <w:p>
            <w:pPr>
              <w:spacing w:after="0"/>
            </w:pPr>
            <w:r>
              <w:rPr>
                <w:rFonts w:ascii="Arial" w:hAnsi="Arial"/>
                <w:sz w:val="15"/>
              </w:rPr>
              <w:t>Micro Gold Futures; 10 troy ounces; intended initial execution instrument.</w:t>
            </w:r>
          </w:p>
        </w:tc>
      </w:tr>
      <w:tr>
        <w:trPr>
          <w:cantSplit/>
        </w:trPr>
        <w:tc>
          <w:tcPr>
            <w:tcW w:type="dxa" w:w="2448"/>
            <w:tcMar>
              <w:top w:w="65" w:type="dxa"/>
              <w:start w:w="90" w:type="dxa"/>
              <w:bottom w:w="65" w:type="dxa"/>
              <w:end w:w="90" w:type="dxa"/>
            </w:tcMar>
          </w:tcPr>
          <w:p>
            <w:pPr>
              <w:spacing w:after="0"/>
            </w:pPr>
            <w:r>
              <w:rPr>
                <w:rFonts w:ascii="Arial" w:hAnsi="Arial"/>
                <w:sz w:val="15"/>
              </w:rPr>
              <w:t>POI</w:t>
            </w:r>
          </w:p>
        </w:tc>
        <w:tc>
          <w:tcPr>
            <w:tcW w:type="dxa" w:w="7920"/>
            <w:tcMar>
              <w:top w:w="65" w:type="dxa"/>
              <w:start w:w="90" w:type="dxa"/>
              <w:bottom w:w="65" w:type="dxa"/>
              <w:end w:w="90" w:type="dxa"/>
            </w:tcMar>
          </w:tcPr>
          <w:p>
            <w:pPr>
              <w:spacing w:after="0"/>
            </w:pPr>
            <w:r>
              <w:rPr>
                <w:rFonts w:ascii="Arial" w:hAnsi="Arial"/>
                <w:sz w:val="15"/>
              </w:rPr>
              <w:t>Point of Interest: a discretionary market-structure concept converted into a formalized formation, retest, and context research framework.</w:t>
            </w:r>
          </w:p>
        </w:tc>
      </w:tr>
      <w:tr>
        <w:trPr>
          <w:cantSplit/>
        </w:trPr>
        <w:tc>
          <w:tcPr>
            <w:tcW w:type="dxa" w:w="2448"/>
            <w:tcMar>
              <w:top w:w="65" w:type="dxa"/>
              <w:start w:w="90" w:type="dxa"/>
              <w:bottom w:w="65" w:type="dxa"/>
              <w:end w:w="90" w:type="dxa"/>
            </w:tcMar>
            <w:shd w:fill="F3F5F7"/>
          </w:tcPr>
          <w:p>
            <w:pPr>
              <w:spacing w:after="0"/>
            </w:pPr>
            <w:r>
              <w:rPr>
                <w:rFonts w:ascii="Arial" w:hAnsi="Arial"/>
                <w:sz w:val="15"/>
              </w:rPr>
              <w:t>Systematic / systemic trading</w:t>
            </w:r>
          </w:p>
        </w:tc>
        <w:tc>
          <w:tcPr>
            <w:tcW w:type="dxa" w:w="7920"/>
            <w:tcMar>
              <w:top w:w="65" w:type="dxa"/>
              <w:start w:w="90" w:type="dxa"/>
              <w:bottom w:w="65" w:type="dxa"/>
              <w:end w:w="90" w:type="dxa"/>
            </w:tcMar>
            <w:shd w:fill="F3F5F7"/>
          </w:tcPr>
          <w:p>
            <w:pPr>
              <w:spacing w:after="0"/>
            </w:pPr>
            <w:r>
              <w:rPr>
                <w:rFonts w:ascii="Arial" w:hAnsi="Arial"/>
                <w:sz w:val="15"/>
              </w:rPr>
              <w:t>Rule-based decision and execution logic that can be reproduced consistently by software.</w:t>
            </w:r>
          </w:p>
        </w:tc>
      </w:tr>
      <w:tr>
        <w:trPr>
          <w:cantSplit/>
        </w:trPr>
        <w:tc>
          <w:tcPr>
            <w:tcW w:type="dxa" w:w="2448"/>
            <w:tcMar>
              <w:top w:w="65" w:type="dxa"/>
              <w:start w:w="90" w:type="dxa"/>
              <w:bottom w:w="65" w:type="dxa"/>
              <w:end w:w="90" w:type="dxa"/>
            </w:tcMar>
          </w:tcPr>
          <w:p>
            <w:pPr>
              <w:spacing w:after="0"/>
            </w:pPr>
            <w:r>
              <w:rPr>
                <w:rFonts w:ascii="Arial" w:hAnsi="Arial"/>
                <w:sz w:val="15"/>
              </w:rPr>
              <w:t>Hybrid system</w:t>
            </w:r>
          </w:p>
        </w:tc>
        <w:tc>
          <w:tcPr>
            <w:tcW w:type="dxa" w:w="7920"/>
            <w:tcMar>
              <w:top w:w="65" w:type="dxa"/>
              <w:start w:w="90" w:type="dxa"/>
              <w:bottom w:w="65" w:type="dxa"/>
              <w:end w:w="90" w:type="dxa"/>
            </w:tcMar>
          </w:tcPr>
          <w:p>
            <w:pPr>
              <w:spacing w:after="0"/>
            </w:pPr>
            <w:r>
              <w:rPr>
                <w:rFonts w:ascii="Arial" w:hAnsi="Arial"/>
                <w:sz w:val="15"/>
              </w:rPr>
              <w:t>A governed combination of formalized discretionary structure and independently validated statistical information, with explicit human/algorithm decision authority.</w:t>
            </w:r>
          </w:p>
        </w:tc>
      </w:tr>
      <w:tr>
        <w:trPr>
          <w:cantSplit/>
        </w:trPr>
        <w:tc>
          <w:tcPr>
            <w:tcW w:type="dxa" w:w="2448"/>
            <w:tcMar>
              <w:top w:w="65" w:type="dxa"/>
              <w:start w:w="90" w:type="dxa"/>
              <w:bottom w:w="65" w:type="dxa"/>
              <w:end w:w="90" w:type="dxa"/>
            </w:tcMar>
            <w:shd w:fill="F3F5F7"/>
          </w:tcPr>
          <w:p>
            <w:pPr>
              <w:spacing w:after="0"/>
            </w:pPr>
            <w:r>
              <w:rPr>
                <w:rFonts w:ascii="Arial" w:hAnsi="Arial"/>
                <w:sz w:val="15"/>
              </w:rPr>
              <w:t>OHLCV</w:t>
            </w:r>
          </w:p>
        </w:tc>
        <w:tc>
          <w:tcPr>
            <w:tcW w:type="dxa" w:w="7920"/>
            <w:tcMar>
              <w:top w:w="65" w:type="dxa"/>
              <w:start w:w="90" w:type="dxa"/>
              <w:bottom w:w="65" w:type="dxa"/>
              <w:end w:w="90" w:type="dxa"/>
            </w:tcMar>
            <w:shd w:fill="F3F5F7"/>
          </w:tcPr>
          <w:p>
            <w:pPr>
              <w:spacing w:after="0"/>
            </w:pPr>
            <w:r>
              <w:rPr>
                <w:rFonts w:ascii="Arial" w:hAnsi="Arial"/>
                <w:sz w:val="15"/>
              </w:rPr>
              <w:t>Open, high, low, close, and volume aggregated over a time interval.</w:t>
            </w:r>
          </w:p>
        </w:tc>
      </w:tr>
      <w:tr>
        <w:trPr>
          <w:cantSplit/>
        </w:trPr>
        <w:tc>
          <w:tcPr>
            <w:tcW w:type="dxa" w:w="2448"/>
            <w:tcMar>
              <w:top w:w="65" w:type="dxa"/>
              <w:start w:w="90" w:type="dxa"/>
              <w:bottom w:w="65" w:type="dxa"/>
              <w:end w:w="90" w:type="dxa"/>
            </w:tcMar>
          </w:tcPr>
          <w:p>
            <w:pPr>
              <w:spacing w:after="0"/>
            </w:pPr>
            <w:r>
              <w:rPr>
                <w:rFonts w:ascii="Arial" w:hAnsi="Arial"/>
                <w:sz w:val="15"/>
              </w:rPr>
              <w:t>MFE / MAE</w:t>
            </w:r>
          </w:p>
        </w:tc>
        <w:tc>
          <w:tcPr>
            <w:tcW w:type="dxa" w:w="7920"/>
            <w:tcMar>
              <w:top w:w="65" w:type="dxa"/>
              <w:start w:w="90" w:type="dxa"/>
              <w:bottom w:w="65" w:type="dxa"/>
              <w:end w:w="90" w:type="dxa"/>
            </w:tcMar>
          </w:tcPr>
          <w:p>
            <w:pPr>
              <w:spacing w:after="0"/>
            </w:pPr>
            <w:r>
              <w:rPr>
                <w:rFonts w:ascii="Arial" w:hAnsi="Arial"/>
                <w:sz w:val="15"/>
              </w:rPr>
              <w:t>Maximum favourable/adverse excursion over a future path; descriptive path outcomes, not automatically realized profit/loss.</w:t>
            </w:r>
          </w:p>
        </w:tc>
      </w:tr>
      <w:tr>
        <w:trPr>
          <w:cantSplit/>
        </w:trPr>
        <w:tc>
          <w:tcPr>
            <w:tcW w:type="dxa" w:w="2448"/>
            <w:tcMar>
              <w:top w:w="65" w:type="dxa"/>
              <w:start w:w="90" w:type="dxa"/>
              <w:bottom w:w="65" w:type="dxa"/>
              <w:end w:w="90" w:type="dxa"/>
            </w:tcMar>
            <w:shd w:fill="F3F5F7"/>
          </w:tcPr>
          <w:p>
            <w:pPr>
              <w:spacing w:after="0"/>
            </w:pPr>
            <w:r>
              <w:rPr>
                <w:rFonts w:ascii="Arial" w:hAnsi="Arial"/>
                <w:sz w:val="15"/>
              </w:rPr>
              <w:t>Sequential backtest</w:t>
            </w:r>
          </w:p>
        </w:tc>
        <w:tc>
          <w:tcPr>
            <w:tcW w:type="dxa" w:w="7920"/>
            <w:tcMar>
              <w:top w:w="65" w:type="dxa"/>
              <w:start w:w="90" w:type="dxa"/>
              <w:bottom w:w="65" w:type="dxa"/>
              <w:end w:w="90" w:type="dxa"/>
            </w:tcMar>
            <w:shd w:fill="F3F5F7"/>
          </w:tcPr>
          <w:p>
            <w:pPr>
              <w:spacing w:after="0"/>
            </w:pPr>
            <w:r>
              <w:rPr>
                <w:rFonts w:ascii="Arial" w:hAnsi="Arial"/>
                <w:sz w:val="15"/>
              </w:rPr>
              <w:t>A chronological simulation of orders, positions, account state, risk, costs, and rule constraints.</w:t>
            </w:r>
          </w:p>
        </w:tc>
      </w:tr>
      <w:tr>
        <w:trPr>
          <w:cantSplit/>
        </w:trPr>
        <w:tc>
          <w:tcPr>
            <w:tcW w:type="dxa" w:w="2448"/>
            <w:tcMar>
              <w:top w:w="65" w:type="dxa"/>
              <w:start w:w="90" w:type="dxa"/>
              <w:bottom w:w="65" w:type="dxa"/>
              <w:end w:w="90" w:type="dxa"/>
            </w:tcMar>
          </w:tcPr>
          <w:p>
            <w:pPr>
              <w:spacing w:after="0"/>
            </w:pPr>
            <w:r>
              <w:rPr>
                <w:rFonts w:ascii="Arial" w:hAnsi="Arial"/>
                <w:sz w:val="15"/>
              </w:rPr>
              <w:t>Rithmic paper trading</w:t>
            </w:r>
          </w:p>
        </w:tc>
        <w:tc>
          <w:tcPr>
            <w:tcW w:type="dxa" w:w="7920"/>
            <w:tcMar>
              <w:top w:w="65" w:type="dxa"/>
              <w:start w:w="90" w:type="dxa"/>
              <w:bottom w:w="65" w:type="dxa"/>
              <w:end w:w="90" w:type="dxa"/>
            </w:tcMar>
          </w:tcPr>
          <w:p>
            <w:pPr>
              <w:spacing w:after="0"/>
            </w:pPr>
            <w:r>
              <w:rPr>
                <w:rFonts w:ascii="Arial" w:hAnsi="Arial"/>
                <w:sz w:val="15"/>
              </w:rPr>
              <w:t>Live exchange market data with simulated order matching and risk controls; useful for forward testing but not identical to live fills.</w:t>
            </w:r>
          </w:p>
        </w:tc>
      </w:tr>
      <w:tr>
        <w:trPr>
          <w:cantSplit/>
        </w:trPr>
        <w:tc>
          <w:tcPr>
            <w:tcW w:type="dxa" w:w="2448"/>
            <w:tcMar>
              <w:top w:w="65" w:type="dxa"/>
              <w:start w:w="90" w:type="dxa"/>
              <w:bottom w:w="65" w:type="dxa"/>
              <w:end w:w="90" w:type="dxa"/>
            </w:tcMar>
            <w:shd w:fill="F3F5F7"/>
          </w:tcPr>
          <w:p>
            <w:pPr>
              <w:spacing w:after="0"/>
            </w:pPr>
            <w:r>
              <w:rPr>
                <w:rFonts w:ascii="Arial" w:hAnsi="Arial"/>
                <w:sz w:val="15"/>
              </w:rPr>
              <w:t>TBBO</w:t>
            </w:r>
          </w:p>
        </w:tc>
        <w:tc>
          <w:tcPr>
            <w:tcW w:type="dxa" w:w="7920"/>
            <w:tcMar>
              <w:top w:w="65" w:type="dxa"/>
              <w:start w:w="90" w:type="dxa"/>
              <w:bottom w:w="65" w:type="dxa"/>
              <w:end w:w="90" w:type="dxa"/>
            </w:tcMar>
            <w:shd w:fill="F3F5F7"/>
          </w:tcPr>
          <w:p>
            <w:pPr>
              <w:spacing w:after="0"/>
            </w:pPr>
            <w:r>
              <w:rPr>
                <w:rFonts w:ascii="Arial" w:hAnsi="Arial"/>
                <w:sz w:val="15"/>
              </w:rPr>
              <w:t>Trade events combined with the best bid and offer immediately preceding each trade.</w:t>
            </w:r>
          </w:p>
        </w:tc>
      </w:tr>
      <w:tr>
        <w:trPr>
          <w:cantSplit/>
        </w:trPr>
        <w:tc>
          <w:tcPr>
            <w:tcW w:type="dxa" w:w="2448"/>
            <w:tcMar>
              <w:top w:w="65" w:type="dxa"/>
              <w:start w:w="90" w:type="dxa"/>
              <w:bottom w:w="65" w:type="dxa"/>
              <w:end w:w="90" w:type="dxa"/>
            </w:tcMar>
          </w:tcPr>
          <w:p>
            <w:pPr>
              <w:spacing w:after="0"/>
            </w:pPr>
            <w:r>
              <w:rPr>
                <w:rFonts w:ascii="Arial" w:hAnsi="Arial"/>
                <w:sz w:val="15"/>
              </w:rPr>
              <w:t>MBO</w:t>
            </w:r>
          </w:p>
        </w:tc>
        <w:tc>
          <w:tcPr>
            <w:tcW w:type="dxa" w:w="7920"/>
            <w:tcMar>
              <w:top w:w="65" w:type="dxa"/>
              <w:start w:w="90" w:type="dxa"/>
              <w:bottom w:w="65" w:type="dxa"/>
              <w:end w:w="90" w:type="dxa"/>
            </w:tcMar>
          </w:tcPr>
          <w:p>
            <w:pPr>
              <w:spacing w:after="0"/>
            </w:pPr>
            <w:r>
              <w:rPr>
                <w:rFonts w:ascii="Arial" w:hAnsi="Arial"/>
                <w:sz w:val="15"/>
              </w:rPr>
              <w:t>Market-by-order data containing individual order-book events across all price levels.</w:t>
            </w:r>
          </w:p>
        </w:tc>
      </w:tr>
      <w:tr>
        <w:trPr>
          <w:cantSplit/>
        </w:trPr>
        <w:tc>
          <w:tcPr>
            <w:tcW w:type="dxa" w:w="2448"/>
            <w:tcMar>
              <w:top w:w="65" w:type="dxa"/>
              <w:start w:w="90" w:type="dxa"/>
              <w:bottom w:w="65" w:type="dxa"/>
              <w:end w:w="90" w:type="dxa"/>
            </w:tcMar>
            <w:shd w:fill="F3F5F7"/>
          </w:tcPr>
          <w:p>
            <w:pPr>
              <w:spacing w:after="0"/>
            </w:pPr>
            <w:r>
              <w:rPr>
                <w:rFonts w:ascii="Arial" w:hAnsi="Arial"/>
                <w:sz w:val="15"/>
              </w:rPr>
              <w:t>Final test</w:t>
            </w:r>
          </w:p>
        </w:tc>
        <w:tc>
          <w:tcPr>
            <w:tcW w:type="dxa" w:w="7920"/>
            <w:tcMar>
              <w:top w:w="65" w:type="dxa"/>
              <w:start w:w="90" w:type="dxa"/>
              <w:bottom w:w="65" w:type="dxa"/>
              <w:end w:w="90" w:type="dxa"/>
            </w:tcMar>
            <w:shd w:fill="F3F5F7"/>
          </w:tcPr>
          <w:p>
            <w:pPr>
              <w:spacing w:after="0"/>
            </w:pPr>
            <w:r>
              <w:rPr>
                <w:rFonts w:ascii="Arial" w:hAnsi="Arial"/>
                <w:sz w:val="15"/>
              </w:rPr>
              <w:t>The project partition from 1 January 2025 through 22 May 2026; it has had limited descriptive exposure and is not fully untouched.</w:t>
            </w:r>
          </w:p>
        </w:tc>
      </w:tr>
    </w:tbl>
    <w:p>
      <w:pPr>
        <w:spacing w:after="0"/>
        <w:widowControl/>
      </w:pPr>
    </w:p>
    <w:p>
      <w:pPr>
        <w:pStyle w:val="Heading1"/>
        <w:pBdr>
          <w:bottom w:val="single" w:sz="8" w:space="3" w:color="B88A2A"/>
        </w:pBdr>
        <w:widowControl/>
      </w:pPr>
      <w:r>
        <w:rPr>
          <w:rFonts w:ascii="Arial" w:hAnsi="Arial"/>
          <w:b/>
          <w:color w:val="172033"/>
          <w:sz w:val="36"/>
        </w:rPr>
        <w:t>25. Reference Notes</w:t>
      </w:r>
    </w:p>
    <w:p>
      <w:pPr>
        <w:pStyle w:val="Heading2"/>
        <w:widowControl/>
      </w:pPr>
      <w:r>
        <w:rPr>
          <w:rFonts w:ascii="Arial" w:hAnsi="Arial"/>
          <w:i w:val="0"/>
        </w:rPr>
        <w:t>Internal project basis</w:t>
      </w:r>
    </w:p>
    <w:p>
      <w:pPr>
        <w:pStyle w:val="ListBullet"/>
        <w:spacing w:after="40"/>
        <w:ind w:left="317" w:hanging="173"/>
        <w:widowControl/>
      </w:pPr>
      <w:r>
        <w:rPr>
          <w:rFonts w:ascii="Arial" w:hAnsi="Arial"/>
        </w:rPr>
        <w:t>Repository README: current project state, research architecture, governance, test coverage, contributor workflow, and implementation boundaries.</w:t>
      </w:r>
    </w:p>
    <w:p>
      <w:pPr>
        <w:pStyle w:val="ListBullet"/>
        <w:spacing w:after="40"/>
        <w:ind w:left="317" w:hanging="173"/>
        <w:widowControl/>
      </w:pPr>
      <w:r>
        <w:rPr>
          <w:rFonts w:ascii="Arial" w:hAnsi="Arial"/>
        </w:rPr>
        <w:t>Quant Project 1 context report: project objective, engineering standards, POI research history, and current authoritative project map.</w:t>
      </w:r>
    </w:p>
    <w:p>
      <w:pPr>
        <w:pStyle w:val="ListBullet"/>
        <w:spacing w:after="40"/>
        <w:ind w:left="317" w:hanging="173"/>
        <w:widowControl/>
      </w:pPr>
      <w:r>
        <w:rPr>
          <w:rFonts w:ascii="Arial" w:hAnsi="Arial"/>
        </w:rPr>
        <w:t>Statistical feature research context report: independent-branch mandate, no-lookahead contract, chronological partitions, feature research standards, sequential-backtest boundary, and POI integration boundary.</w:t>
      </w:r>
    </w:p>
    <w:p>
      <w:pPr>
        <w:pStyle w:val="Heading2"/>
        <w:widowControl/>
      </w:pPr>
      <w:r>
        <w:rPr>
          <w:rFonts w:ascii="Arial" w:hAnsi="Arial"/>
          <w:b/>
          <w:color w:val="B88A2A"/>
          <w:sz w:val="26"/>
        </w:rPr>
        <w:t>External facts verified for this draft</w:t>
      </w:r>
    </w:p>
    <w:p>
      <w:pPr>
        <w:pStyle w:val="SmallNote"/>
        <w:widowControl/>
      </w:pPr>
      <w:hyperlink r:id="rId11">
        <w:r>
          <w:rPr>
            <w:color w:val="2F5D8A"/>
            <w:u w:val="single"/>
            <w:rFonts w:ascii="Arial" w:hAnsi="Arial"/>
          </w:rPr>
          <w:t>CME Group — Gold Futures</w:t>
        </w:r>
      </w:hyperlink>
      <w:r>
        <w:rPr>
          <w:rFonts w:ascii="Arial" w:hAnsi="Arial"/>
          <w:color w:val="5B6472"/>
          <w:sz w:val="16"/>
        </w:rPr>
        <w:t xml:space="preserve"> — GC is a 100-troy-ounce benchmark contract.</w:t>
      </w:r>
    </w:p>
    <w:p>
      <w:pPr>
        <w:pStyle w:val="SmallNote"/>
        <w:widowControl/>
      </w:pPr>
      <w:hyperlink r:id="rId12">
        <w:r>
          <w:rPr>
            <w:color w:val="2F5D8A"/>
            <w:u w:val="single"/>
            <w:rFonts w:ascii="Arial" w:hAnsi="Arial"/>
          </w:rPr>
          <w:t>CME Group — Micro Gold overview</w:t>
        </w:r>
      </w:hyperlink>
      <w:r>
        <w:rPr>
          <w:rFonts w:ascii="Arial" w:hAnsi="Arial"/>
          <w:color w:val="5B6472"/>
          <w:sz w:val="16"/>
        </w:rPr>
        <w:t xml:space="preserve"> — MGC is one-tenth of GC, 10 troy ounces, with a $1 minimum tick.</w:t>
      </w:r>
    </w:p>
    <w:p>
      <w:pPr>
        <w:pStyle w:val="SmallNote"/>
        <w:widowControl/>
      </w:pPr>
      <w:hyperlink r:id="rId13">
        <w:r>
          <w:rPr>
            <w:color w:val="2F5D8A"/>
            <w:u w:val="single"/>
            <w:rFonts w:ascii="Arial" w:hAnsi="Arial"/>
          </w:rPr>
          <w:t>Rithmic — Exchange Simulator</w:t>
        </w:r>
      </w:hyperlink>
      <w:r>
        <w:rPr>
          <w:rFonts w:ascii="Arial" w:hAnsi="Arial"/>
          <w:color w:val="5B6472"/>
          <w:sz w:val="16"/>
        </w:rPr>
        <w:t xml:space="preserve"> — Paper environment uses live exchange data and simulated fills/risk controls.</w:t>
      </w:r>
    </w:p>
    <w:p>
      <w:pPr>
        <w:pStyle w:val="SmallNote"/>
        <w:widowControl/>
      </w:pPr>
      <w:hyperlink r:id="rId14">
        <w:r>
          <w:rPr>
            <w:color w:val="2F5D8A"/>
            <w:u w:val="single"/>
            <w:rFonts w:ascii="Arial" w:hAnsi="Arial"/>
          </w:rPr>
          <w:t>Databento — MBO schema</w:t>
        </w:r>
      </w:hyperlink>
      <w:r>
        <w:rPr>
          <w:rFonts w:ascii="Arial" w:hAnsi="Arial"/>
          <w:color w:val="5B6472"/>
          <w:sz w:val="16"/>
        </w:rPr>
        <w:t xml:space="preserve"> — MBO contains individual order events across the full book.</w:t>
      </w:r>
    </w:p>
    <w:p>
      <w:pPr>
        <w:pStyle w:val="SmallNote"/>
        <w:widowControl/>
      </w:pPr>
      <w:hyperlink r:id="rId15">
        <w:r>
          <w:rPr>
            <w:color w:val="2F5D8A"/>
            <w:u w:val="single"/>
            <w:rFonts w:ascii="Arial" w:hAnsi="Arial"/>
          </w:rPr>
          <w:t>Databento — Schema overview</w:t>
        </w:r>
      </w:hyperlink>
      <w:r>
        <w:rPr>
          <w:rFonts w:ascii="Arial" w:hAnsi="Arial"/>
          <w:color w:val="5B6472"/>
          <w:sz w:val="16"/>
        </w:rPr>
        <w:t xml:space="preserve"> — TBBO, MBP, MBO, trades, and OHLCV schema relationships.</w:t>
      </w:r>
    </w:p>
    <w:p>
      <w:pPr>
        <w:widowControl/>
      </w:pPr>
      <w:r>
        <w:br w:type="page"/>
      </w:r>
    </w:p>
    <w:p>
      <w:pPr>
        <w:pStyle w:val="Heading1"/>
        <w:pBdr>
          <w:bottom w:val="single" w:sz="8" w:space="3" w:color="B88A2A"/>
        </w:pBdr>
        <w:widowControl/>
      </w:pPr>
      <w:r>
        <w:rPr>
          <w:rFonts w:ascii="Arial" w:hAnsi="Arial"/>
          <w:b/>
          <w:color w:val="172033"/>
          <w:sz w:val="36"/>
        </w:rPr>
        <w:t>26. Approval and Sign-Off</w:t>
      </w:r>
    </w:p>
    <w:p>
      <w:pPr>
        <w:widowControl/>
      </w:pPr>
      <w:r>
        <w:rPr>
          <w:rFonts w:ascii="Arial" w:hAnsi="Arial"/>
          <w:i w:val="0"/>
        </w:rPr>
        <w:t>This draft becomes the agreed product contract only after the partners review the open decisions, assign ownership, and record approval below. Future material scope changes should be versioned rather than silently added.</w:t>
      </w:r>
    </w:p>
    <w:p>
      <w:pPr>
        <w:pStyle w:val="Heading2"/>
        <w:widowControl/>
      </w:pPr>
      <w:r>
        <w:rPr>
          <w:rFonts w:ascii="Arial" w:hAnsi="Arial"/>
          <w:b/>
          <w:color w:val="B88A2A"/>
          <w:sz w:val="26"/>
        </w:rPr>
        <w:t>Partner review sign-off</w:t>
      </w:r>
    </w:p>
    <w:tbl>
      <w:tblPr>
        <w:tblStyle w:val="TableGrid"/>
        <w:tblW w:type="auto" w:w="0"/>
        <w:jc w:val="center"/>
        <w:tblLayout w:type="fixed"/>
        <w:tblLook w:firstColumn="1" w:firstRow="1" w:lastColumn="0" w:lastRow="0" w:noHBand="0" w:noVBand="1" w:val="04A0"/>
      </w:tblPr>
      <w:tblGrid>
        <w:gridCol w:w="2498"/>
        <w:gridCol w:w="2498"/>
        <w:gridCol w:w="2498"/>
        <w:gridCol w:w="2498"/>
      </w:tblGrid>
      <w:tr>
        <w:trPr>
          <w:tblHeader w:val="true"/>
        </w:trPr>
        <w:tc>
          <w:tcPr>
            <w:tcW w:type="dxa" w:w="2232"/>
            <w:shd w:fill="172033"/>
            <w:tcMar>
              <w:top w:w="75" w:type="dxa"/>
              <w:start w:w="90" w:type="dxa"/>
              <w:bottom w:w="75" w:type="dxa"/>
              <w:end w:w="90" w:type="dxa"/>
            </w:tcMar>
            <w:vAlign w:val="center"/>
          </w:tcPr>
          <w:p>
            <w:pPr>
              <w:jc w:val="left"/>
            </w:pPr>
            <w:r>
              <w:rPr>
                <w:rFonts w:ascii="Arial" w:hAnsi="Arial"/>
                <w:b/>
                <w:color w:val="FFFFFF"/>
                <w:sz w:val="16"/>
              </w:rPr>
              <w:t>Reviewer</w:t>
            </w:r>
          </w:p>
        </w:tc>
        <w:tc>
          <w:tcPr>
            <w:tcW w:type="dxa" w:w="3528"/>
            <w:shd w:fill="172033"/>
            <w:tcMar>
              <w:top w:w="75" w:type="dxa"/>
              <w:start w:w="90" w:type="dxa"/>
              <w:bottom w:w="75" w:type="dxa"/>
              <w:end w:w="90" w:type="dxa"/>
            </w:tcMar>
            <w:vAlign w:val="center"/>
          </w:tcPr>
          <w:p>
            <w:pPr>
              <w:jc w:val="left"/>
            </w:pPr>
            <w:r>
              <w:rPr>
                <w:rFonts w:ascii="Arial" w:hAnsi="Arial"/>
                <w:b/>
                <w:color w:val="FFFFFF"/>
                <w:sz w:val="16"/>
              </w:rPr>
              <w:t>Role</w:t>
            </w:r>
          </w:p>
        </w:tc>
        <w:tc>
          <w:tcPr>
            <w:tcW w:type="dxa" w:w="1584"/>
            <w:shd w:fill="172033"/>
            <w:tcMar>
              <w:top w:w="75" w:type="dxa"/>
              <w:start w:w="90" w:type="dxa"/>
              <w:bottom w:w="75" w:type="dxa"/>
              <w:end w:w="90" w:type="dxa"/>
            </w:tcMar>
            <w:vAlign w:val="center"/>
          </w:tcPr>
          <w:p>
            <w:pPr>
              <w:jc w:val="left"/>
            </w:pPr>
            <w:r>
              <w:rPr>
                <w:rFonts w:ascii="Arial" w:hAnsi="Arial"/>
                <w:b/>
                <w:color w:val="FFFFFF"/>
                <w:sz w:val="16"/>
              </w:rPr>
              <w:t>Decision</w:t>
            </w:r>
          </w:p>
        </w:tc>
        <w:tc>
          <w:tcPr>
            <w:tcW w:type="dxa" w:w="3024"/>
            <w:shd w:fill="172033"/>
            <w:tcMar>
              <w:top w:w="75" w:type="dxa"/>
              <w:start w:w="90" w:type="dxa"/>
              <w:bottom w:w="75" w:type="dxa"/>
              <w:end w:w="90" w:type="dxa"/>
            </w:tcMar>
            <w:vAlign w:val="center"/>
          </w:tcPr>
          <w:p>
            <w:pPr>
              <w:jc w:val="left"/>
            </w:pPr>
            <w:r>
              <w:rPr>
                <w:rFonts w:ascii="Arial" w:hAnsi="Arial"/>
                <w:b/>
                <w:color w:val="FFFFFF"/>
                <w:sz w:val="16"/>
              </w:rPr>
              <w:t>Date / notes</w:t>
            </w:r>
          </w:p>
        </w:tc>
      </w:tr>
      <w:tr>
        <w:trPr>
          <w:cantSplit/>
        </w:trPr>
        <w:tc>
          <w:tcPr>
            <w:tcW w:type="dxa" w:w="2232"/>
            <w:tcMar>
              <w:top w:w="65" w:type="dxa"/>
              <w:start w:w="90" w:type="dxa"/>
              <w:bottom w:w="65" w:type="dxa"/>
              <w:end w:w="90" w:type="dxa"/>
            </w:tcMar>
          </w:tcPr>
          <w:p>
            <w:pPr>
              <w:spacing w:after="0"/>
            </w:pPr>
            <w:r>
              <w:rPr>
                <w:rFonts w:ascii="Arial" w:hAnsi="Arial"/>
                <w:sz w:val="16"/>
              </w:rPr>
              <w:t>Abond</w:t>
            </w:r>
          </w:p>
        </w:tc>
        <w:tc>
          <w:tcPr>
            <w:tcW w:type="dxa" w:w="3528"/>
            <w:tcMar>
              <w:top w:w="65" w:type="dxa"/>
              <w:start w:w="90" w:type="dxa"/>
              <w:bottom w:w="65" w:type="dxa"/>
              <w:end w:w="90" w:type="dxa"/>
            </w:tcMar>
          </w:tcPr>
          <w:p>
            <w:pPr>
              <w:spacing w:after="0"/>
            </w:pPr>
            <w:r>
              <w:rPr>
                <w:rFonts w:ascii="Arial" w:hAnsi="Arial"/>
                <w:sz w:val="16"/>
              </w:rPr>
              <w:t>Product Owner / Market &amp; Strategy Lead</w:t>
            </w:r>
          </w:p>
        </w:tc>
        <w:tc>
          <w:tcPr>
            <w:tcW w:type="dxa" w:w="1584"/>
            <w:tcMar>
              <w:top w:w="65" w:type="dxa"/>
              <w:start w:w="90" w:type="dxa"/>
              <w:bottom w:w="65" w:type="dxa"/>
              <w:end w:w="90" w:type="dxa"/>
            </w:tcMar>
          </w:tcPr>
          <w:p>
            <w:pPr>
              <w:spacing w:after="0"/>
            </w:pPr>
            <w:r>
              <w:rPr>
                <w:rFonts w:ascii="Arial" w:hAnsi="Arial"/>
                <w:sz w:val="16"/>
              </w:rPr>
              <w:t>Pending</w:t>
            </w:r>
          </w:p>
        </w:tc>
        <w:tc>
          <w:tcPr>
            <w:tcW w:type="dxa" w:w="3024"/>
            <w:tcMar>
              <w:top w:w="65" w:type="dxa"/>
              <w:start w:w="90" w:type="dxa"/>
              <w:bottom w:w="65" w:type="dxa"/>
              <w:end w:w="90" w:type="dxa"/>
            </w:tcMar>
          </w:tcPr>
          <w:p>
            <w:pPr>
              <w:spacing w:after="0"/>
            </w:pPr>
            <w:r>
              <w:rPr>
                <w:rFonts w:ascii="Arial" w:hAnsi="Arial"/>
                <w:sz w:val="16"/>
              </w:rPr>
            </w:r>
          </w:p>
        </w:tc>
      </w:tr>
      <w:tr>
        <w:trPr>
          <w:cantSplit/>
        </w:trPr>
        <w:tc>
          <w:tcPr>
            <w:tcW w:type="dxa" w:w="2232"/>
            <w:tcMar>
              <w:top w:w="65" w:type="dxa"/>
              <w:start w:w="90" w:type="dxa"/>
              <w:bottom w:w="65" w:type="dxa"/>
              <w:end w:w="90" w:type="dxa"/>
            </w:tcMar>
            <w:shd w:fill="F3F5F7"/>
          </w:tcPr>
          <w:p>
            <w:pPr>
              <w:spacing w:after="0"/>
            </w:pPr>
            <w:r>
              <w:rPr>
                <w:rFonts w:ascii="Arial" w:hAnsi="Arial"/>
                <w:sz w:val="16"/>
              </w:rPr>
              <w:t>Partner 1</w:t>
            </w:r>
          </w:p>
        </w:tc>
        <w:tc>
          <w:tcPr>
            <w:tcW w:type="dxa" w:w="3528"/>
            <w:tcMar>
              <w:top w:w="65" w:type="dxa"/>
              <w:start w:w="90" w:type="dxa"/>
              <w:bottom w:w="65" w:type="dxa"/>
              <w:end w:w="90" w:type="dxa"/>
            </w:tcMar>
            <w:shd w:fill="F3F5F7"/>
          </w:tcPr>
          <w:p>
            <w:pPr>
              <w:spacing w:after="0"/>
            </w:pPr>
            <w:r>
              <w:rPr>
                <w:rFonts w:ascii="Arial" w:hAnsi="Arial"/>
                <w:sz w:val="16"/>
              </w:rPr>
              <w:t>To be assigned</w:t>
            </w:r>
          </w:p>
        </w:tc>
        <w:tc>
          <w:tcPr>
            <w:tcW w:type="dxa" w:w="1584"/>
            <w:tcMar>
              <w:top w:w="65" w:type="dxa"/>
              <w:start w:w="90" w:type="dxa"/>
              <w:bottom w:w="65" w:type="dxa"/>
              <w:end w:w="90" w:type="dxa"/>
            </w:tcMar>
            <w:shd w:fill="F3F5F7"/>
          </w:tcPr>
          <w:p>
            <w:pPr>
              <w:spacing w:after="0"/>
            </w:pPr>
            <w:r>
              <w:rPr>
                <w:rFonts w:ascii="Arial" w:hAnsi="Arial"/>
                <w:sz w:val="16"/>
              </w:rPr>
              <w:t>Pending</w:t>
            </w:r>
          </w:p>
        </w:tc>
        <w:tc>
          <w:tcPr>
            <w:tcW w:type="dxa" w:w="3024"/>
            <w:tcMar>
              <w:top w:w="65" w:type="dxa"/>
              <w:start w:w="90" w:type="dxa"/>
              <w:bottom w:w="65" w:type="dxa"/>
              <w:end w:w="90" w:type="dxa"/>
            </w:tcMar>
            <w:shd w:fill="F3F5F7"/>
          </w:tcPr>
          <w:p>
            <w:pPr>
              <w:spacing w:after="0"/>
            </w:pPr>
            <w:r>
              <w:rPr>
                <w:rFonts w:ascii="Arial" w:hAnsi="Arial"/>
                <w:sz w:val="16"/>
              </w:rPr>
            </w:r>
          </w:p>
        </w:tc>
      </w:tr>
      <w:tr>
        <w:trPr>
          <w:cantSplit/>
        </w:trPr>
        <w:tc>
          <w:tcPr>
            <w:tcW w:type="dxa" w:w="2232"/>
            <w:tcMar>
              <w:top w:w="65" w:type="dxa"/>
              <w:start w:w="90" w:type="dxa"/>
              <w:bottom w:w="65" w:type="dxa"/>
              <w:end w:w="90" w:type="dxa"/>
            </w:tcMar>
          </w:tcPr>
          <w:p>
            <w:pPr>
              <w:spacing w:after="0"/>
            </w:pPr>
            <w:r>
              <w:rPr>
                <w:rFonts w:ascii="Arial" w:hAnsi="Arial"/>
                <w:sz w:val="16"/>
              </w:rPr>
              <w:t>Partner 2</w:t>
            </w:r>
          </w:p>
        </w:tc>
        <w:tc>
          <w:tcPr>
            <w:tcW w:type="dxa" w:w="3528"/>
            <w:tcMar>
              <w:top w:w="65" w:type="dxa"/>
              <w:start w:w="90" w:type="dxa"/>
              <w:bottom w:w="65" w:type="dxa"/>
              <w:end w:w="90" w:type="dxa"/>
            </w:tcMar>
          </w:tcPr>
          <w:p>
            <w:pPr>
              <w:spacing w:after="0"/>
            </w:pPr>
            <w:r>
              <w:rPr>
                <w:rFonts w:ascii="Arial" w:hAnsi="Arial"/>
                <w:sz w:val="16"/>
              </w:rPr>
              <w:t>To be assigned</w:t>
            </w:r>
          </w:p>
        </w:tc>
        <w:tc>
          <w:tcPr>
            <w:tcW w:type="dxa" w:w="1584"/>
            <w:tcMar>
              <w:top w:w="65" w:type="dxa"/>
              <w:start w:w="90" w:type="dxa"/>
              <w:bottom w:w="65" w:type="dxa"/>
              <w:end w:w="90" w:type="dxa"/>
            </w:tcMar>
          </w:tcPr>
          <w:p>
            <w:pPr>
              <w:spacing w:after="0"/>
            </w:pPr>
            <w:r>
              <w:rPr>
                <w:rFonts w:ascii="Arial" w:hAnsi="Arial"/>
                <w:sz w:val="16"/>
              </w:rPr>
              <w:t>Pending</w:t>
            </w:r>
          </w:p>
        </w:tc>
        <w:tc>
          <w:tcPr>
            <w:tcW w:type="dxa" w:w="3024"/>
            <w:tcMar>
              <w:top w:w="65" w:type="dxa"/>
              <w:start w:w="90" w:type="dxa"/>
              <w:bottom w:w="65" w:type="dxa"/>
              <w:end w:w="90" w:type="dxa"/>
            </w:tcMar>
          </w:tcPr>
          <w:p>
            <w:pPr>
              <w:spacing w:after="0"/>
            </w:pPr>
            <w:r>
              <w:rPr>
                <w:rFonts w:ascii="Arial" w:hAnsi="Arial"/>
                <w:sz w:val="16"/>
              </w:rPr>
            </w:r>
          </w:p>
        </w:tc>
      </w:tr>
    </w:tbl>
    <w:p>
      <w:pPr>
        <w:spacing w:after="0"/>
        <w:widowControl/>
      </w:pPr>
    </w:p>
    <w:sectPr w:rsidR="00FC693F" w:rsidRPr="0006063C" w:rsidSect="00034616">
      <w:headerReference w:type="default" r:id="rId9"/>
      <w:footerReference w:type="default" r:id="rId10"/>
      <w:pgSz w:w="12240" w:h="15840"/>
      <w:pgMar w:top="1037" w:right="1123" w:bottom="979" w:left="1123"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5B6472"/>
        <w:sz w:val="16"/>
      </w:rPr>
      <w:t xml:space="preserve">CONFIDENTIAL — INTERNAL RESEARCH  |  PAGE </w:t>
    </w:r>
    <w:r>
      <w:rPr>
        <w:rFonts w:ascii="Arial" w:hAnsi="Arial"/>
        <w:color w:val="5B6472"/>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b/>
        <w:color w:val="5B6472"/>
        <w:sz w:val="15"/>
      </w:rPr>
      <w:t>QUANT PROJECT 1  |  PRODUCT REQUIREMENTS DOCUMENT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90" w:line="259" w:lineRule="auto"/>
    </w:pPr>
    <w:rPr>
      <w:rFonts w:ascii="Arial" w:hAnsi="Arial"/>
      <w:color w:val="222222"/>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outlineLvl w:val="0"/>
    </w:pPr>
    <w:rPr>
      <w:rFonts w:asciiTheme="majorHAnsi" w:eastAsiaTheme="majorEastAsia" w:hAnsiTheme="majorHAnsi" w:cstheme="majorBidi" w:ascii="Arial" w:hAnsi="Arial"/>
      <w:b/>
      <w:bCs/>
      <w:color w:val="172033"/>
      <w:sz w:val="36"/>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rial" w:hAnsi="Arial"/>
      <w:b/>
      <w:bCs/>
      <w:color w:val="B88A2A"/>
      <w:sz w:val="26"/>
      <w:szCs w:val="26"/>
    </w:rPr>
  </w:style>
  <w:style w:type="paragraph" w:styleId="Heading3">
    <w:name w:val="heading 3"/>
    <w:basedOn w:val="Normal"/>
    <w:next w:val="Normal"/>
    <w:link w:val="Heading3Char"/>
    <w:uiPriority w:val="9"/>
    <w:unhideWhenUsed/>
    <w:qFormat/>
    <w:rsid w:val="00FC693F"/>
    <w:pPr>
      <w:keepNext/>
      <w:keepLines/>
      <w:spacing w:before="140" w:after="50"/>
      <w:outlineLvl w:val="2"/>
    </w:pPr>
    <w:rPr>
      <w:rFonts w:asciiTheme="majorHAnsi" w:eastAsiaTheme="majorEastAsia" w:hAnsiTheme="majorHAnsi" w:cstheme="majorBidi" w:ascii="Arial" w:hAnsi="Arial"/>
      <w:b/>
      <w:bCs/>
      <w:color w:val="172033"/>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00" w:line="240" w:lineRule="auto" w:before="0"/>
      <w:contextualSpacing/>
    </w:pPr>
    <w:rPr>
      <w:rFonts w:asciiTheme="majorHAnsi" w:eastAsiaTheme="majorEastAsia" w:hAnsiTheme="majorHAnsi" w:cstheme="majorBidi" w:ascii="Arial" w:hAnsi="Arial"/>
      <w:b/>
      <w:color w:val="172033"/>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120"/>
    </w:pPr>
    <w:rPr>
      <w:rFonts w:asciiTheme="majorHAnsi" w:eastAsiaTheme="majorEastAsia" w:hAnsiTheme="majorHAnsi" w:cstheme="majorBidi" w:ascii="Arial" w:hAnsi="Arial"/>
      <w:b w:val="0"/>
      <w:i/>
      <w:iCs/>
      <w:color w:val="5B6472"/>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40"/>
    </w:pPr>
    <w:rPr>
      <w:rFonts w:ascii="Arial" w:hAnsi="Arial"/>
      <w:color w:val="5B6472"/>
      <w:sz w:val="16"/>
    </w:rPr>
  </w:style>
  <w:style w:type="paragraph" w:customStyle="1" w:styleId="RequirementID">
    <w:name w:val="Requirement ID"/>
    <w:pPr>
      <w:spacing w:after="0"/>
    </w:pPr>
    <w:rPr>
      <w:rFonts w:ascii="Arial" w:hAnsi="Arial"/>
      <w:b/>
      <w:color w:val="172033"/>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cmegroup.com/markets/metals/precious/gold-futures.html" TargetMode="External"/><Relationship Id="rId12" Type="http://schemas.openxmlformats.org/officeDocument/2006/relationships/hyperlink" Target="https://www.cmegroup.com/education/courses/understanding-micro-futures-contracts-at-cme-group/micro-gold-and-silver-futures/micro-gold-and-micro-silver-futures-product-overview" TargetMode="External"/><Relationship Id="rId13" Type="http://schemas.openxmlformats.org/officeDocument/2006/relationships/hyperlink" Target="https://www.rithmic.com/products/exchange-simulator" TargetMode="External"/><Relationship Id="rId14" Type="http://schemas.openxmlformats.org/officeDocument/2006/relationships/hyperlink" Target="https://databento.com/docs/schemas-and-data-formats/mbo" TargetMode="External"/><Relationship Id="rId15" Type="http://schemas.openxmlformats.org/officeDocument/2006/relationships/hyperlink" Target="https://databento.com/docs/schemas-and-data-formats/whats-a-schem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Quant Project 1 — Product Requirements Document</dc:title>
  <dc:subject>Hybrid Systematic Gold Futures Research &amp; Execution Platform</dc:subject>
  <dc:creator>Abond and Project Partners</dc:creator>
  <cp:keywords>quantitative research, futures, GC, MGC, Databento, Rithmic, backtesting, prop firm, PRD</cp:keywords>
  <dc:description>Confidential partner review draft.</dc:description>
  <cp:lastModifiedBy/>
  <cp:revision>1</cp:revision>
  <dcterms:created xsi:type="dcterms:W3CDTF">2013-12-23T23:15:00Z</dcterms:created>
  <dcterms:modified xsi:type="dcterms:W3CDTF">2013-12-23T23:15:00Z</dcterms:modified>
  <cp:category/>
</cp:coreProperties>
</file>