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UNIVERSITY OF ZULULAND</w:t>
      </w:r>
    </w:p>
    <w:p>
      <w:pPr>
        <w:spacing w:after="200"/>
        <w:jc w:val="center"/>
      </w:pPr>
      <w:r>
        <w:rPr>
          <w:b/>
          <w:bCs/>
          <w:sz w:val="24"/>
          <w:szCs w:val="24"/>
        </w:rPr>
        <w:t xml:space="preserve">DEPARTMENT OF COMPUTER SCIENCE</w:t>
      </w:r>
    </w:p>
    <w:p>
      <w:pPr>
        <w:jc w:val="center"/>
      </w:pPr>
      <w:r>
        <w:rPr>
          <w:b/>
          <w:bCs/>
          <w:sz w:val="24"/>
          <w:szCs w:val="24"/>
        </w:rPr>
        <w:t xml:space="preserve">4CPS501B</w:t>
      </w:r>
    </w:p>
    <w:p>
      <w:pPr>
        <w:spacing w:after="100"/>
        <w:jc w:val="center"/>
      </w:pPr>
      <w:r>
        <w:rPr>
          <w:b/>
          <w:bCs/>
          <w:sz w:val="24"/>
          <w:szCs w:val="24"/>
        </w:rPr>
        <w:t xml:space="preserve">MILESTONE 2</w:t>
      </w:r>
    </w:p>
    <w:p>
      <w:pPr>
        <w:spacing w:after="300"/>
        <w:jc w:val="center"/>
      </w:pPr>
      <w:r>
        <w:rPr>
          <w:b/>
          <w:bCs/>
          <w:sz w:val="22"/>
          <w:szCs w:val="22"/>
        </w:rPr>
        <w:t xml:space="preserve">ARCHITECTURE, SECURITY, RELIABILITY AND COST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CE6F7" w:val="clear"/>
          </w:tcPr>
          <w:p>
            <w:pPr>
              <w:spacing w:after="40" w:before="40"/>
            </w:pPr>
            <w:r>
              <w:rPr>
                <w:b/>
                <w:bCs/>
                <w:i w:val="false"/>
                <w:iCs w:val="false"/>
                <w:sz w:val="20"/>
                <w:szCs w:val="20"/>
              </w:rPr>
              <w:t xml:space="preserve">Field</w:t>
            </w:r>
          </w:p>
        </w:tc>
        <w:tc>
          <w:tcPr>
            <w:tcW w:type="dxa" w:w="7050"/>
            <w:shd w:fill="DCE6F7" w:val="clear"/>
          </w:tcPr>
          <w:p>
            <w:pPr>
              <w:spacing w:after="40" w:before="40"/>
            </w:pPr>
            <w:r>
              <w:rPr>
                <w:b/>
                <w:bCs/>
                <w:i w:val="false"/>
                <w:iCs w:val="false"/>
                <w:sz w:val="20"/>
                <w:szCs w:val="20"/>
              </w:rPr>
              <w:t xml:space="preserve">Details</w:t>
            </w:r>
          </w:p>
        </w:tc>
      </w:tr>
      <w:tr>
        <w:tc>
          <w:tcPr>
            <w:tcW w:type="dxa" w:w="2300"/>
          </w:tcPr>
          <w:p>
            <w:pPr>
              <w:spacing w:after="40" w:before="40"/>
            </w:pPr>
            <w:r>
              <w:rPr>
                <w:b w:val="false"/>
                <w:bCs w:val="false"/>
                <w:i w:val="false"/>
                <w:iCs w:val="false"/>
                <w:sz w:val="20"/>
                <w:szCs w:val="20"/>
              </w:rPr>
              <w:t xml:space="preserve">Module</w:t>
            </w:r>
          </w:p>
        </w:tc>
        <w:tc>
          <w:tcPr>
            <w:tcW w:type="dxa" w:w="7050"/>
          </w:tcPr>
          <w:p>
            <w:pPr>
              <w:spacing w:after="40" w:before="40"/>
            </w:pPr>
            <w:r>
              <w:rPr>
                <w:b w:val="false"/>
                <w:bCs w:val="false"/>
                <w:i w:val="false"/>
                <w:iCs w:val="false"/>
                <w:sz w:val="20"/>
                <w:szCs w:val="20"/>
              </w:rPr>
              <w:t xml:space="preserve">4CPS501B — Cloud Computing / Distributed Computing Part B</w:t>
            </w:r>
          </w:p>
        </w:tc>
      </w:tr>
      <w:tr>
        <w:tc>
          <w:tcPr>
            <w:tcW w:type="dxa" w:w="2300"/>
          </w:tcPr>
          <w:p>
            <w:pPr>
              <w:spacing w:after="40" w:before="40"/>
            </w:pPr>
            <w:r>
              <w:rPr>
                <w:b w:val="false"/>
                <w:bCs w:val="false"/>
                <w:i w:val="false"/>
                <w:iCs w:val="false"/>
                <w:sz w:val="20"/>
                <w:szCs w:val="20"/>
              </w:rPr>
              <w:t xml:space="preserve">Practical</w:t>
            </w:r>
          </w:p>
        </w:tc>
        <w:tc>
          <w:tcPr>
            <w:tcW w:type="dxa" w:w="7050"/>
          </w:tcPr>
          <w:p>
            <w:pPr>
              <w:spacing w:after="40" w:before="40"/>
            </w:pPr>
            <w:r>
              <w:rPr>
                <w:b w:val="false"/>
                <w:bCs w:val="false"/>
                <w:i w:val="false"/>
                <w:iCs w:val="false"/>
                <w:sz w:val="20"/>
                <w:szCs w:val="20"/>
              </w:rPr>
              <w:t xml:space="preserve">Cloud-Based Event Service — SubmitStudentFile</w:t>
            </w:r>
          </w:p>
        </w:tc>
      </w:tr>
      <w:tr>
        <w:tc>
          <w:tcPr>
            <w:tcW w:type="dxa" w:w="2300"/>
          </w:tcPr>
          <w:p>
            <w:pPr>
              <w:spacing w:after="40" w:before="40"/>
            </w:pPr>
            <w:r>
              <w:rPr>
                <w:b w:val="false"/>
                <w:bCs w:val="false"/>
                <w:i w:val="false"/>
                <w:iCs w:val="false"/>
                <w:sz w:val="20"/>
                <w:szCs w:val="20"/>
              </w:rPr>
              <w:t xml:space="preserve">Milestone</w:t>
            </w:r>
          </w:p>
        </w:tc>
        <w:tc>
          <w:tcPr>
            <w:tcW w:type="dxa" w:w="7050"/>
          </w:tcPr>
          <w:p>
            <w:pPr>
              <w:spacing w:after="40" w:before="40"/>
            </w:pPr>
            <w:r>
              <w:rPr>
                <w:b w:val="false"/>
                <w:bCs w:val="false"/>
                <w:i w:val="false"/>
                <w:iCs w:val="false"/>
                <w:sz w:val="20"/>
                <w:szCs w:val="20"/>
              </w:rPr>
              <w:t xml:space="preserve">Milestone 2 — Architecture, Security, Reliability and Cost</w:t>
            </w:r>
          </w:p>
        </w:tc>
      </w:tr>
      <w:tr>
        <w:tc>
          <w:tcPr>
            <w:tcW w:type="dxa" w:w="2300"/>
          </w:tcPr>
          <w:p>
            <w:pPr>
              <w:spacing w:after="40" w:before="40"/>
            </w:pPr>
            <w:r>
              <w:rPr>
                <w:b w:val="false"/>
                <w:bCs w:val="false"/>
                <w:i w:val="false"/>
                <w:iCs w:val="false"/>
                <w:sz w:val="20"/>
                <w:szCs w:val="20"/>
              </w:rPr>
              <w:t xml:space="preserve">Work period</w:t>
            </w:r>
          </w:p>
        </w:tc>
        <w:tc>
          <w:tcPr>
            <w:tcW w:type="dxa" w:w="7050"/>
          </w:tcPr>
          <w:p>
            <w:pPr>
              <w:spacing w:after="40" w:before="40"/>
            </w:pPr>
            <w:r>
              <w:rPr>
                <w:b w:val="false"/>
                <w:bCs w:val="false"/>
                <w:i w:val="false"/>
                <w:iCs w:val="false"/>
                <w:sz w:val="20"/>
                <w:szCs w:val="20"/>
              </w:rPr>
              <w:t xml:space="preserve">7 September – 20 September 2026</w:t>
            </w:r>
          </w:p>
        </w:tc>
      </w:tr>
      <w:tr>
        <w:tc>
          <w:tcPr>
            <w:tcW w:type="dxa" w:w="2300"/>
          </w:tcPr>
          <w:p>
            <w:pPr>
              <w:spacing w:after="40" w:before="40"/>
            </w:pPr>
            <w:r>
              <w:rPr>
                <w:b w:val="false"/>
                <w:bCs w:val="false"/>
                <w:i w:val="false"/>
                <w:iCs w:val="false"/>
                <w:sz w:val="20"/>
                <w:szCs w:val="20"/>
              </w:rPr>
              <w:t xml:space="preserve">Submission date</w:t>
            </w:r>
          </w:p>
        </w:tc>
        <w:tc>
          <w:tcPr>
            <w:tcW w:type="dxa" w:w="7050"/>
          </w:tcPr>
          <w:p>
            <w:pPr>
              <w:spacing w:after="40" w:before="40"/>
            </w:pPr>
            <w:r>
              <w:rPr>
                <w:b w:val="false"/>
                <w:bCs w:val="false"/>
                <w:i w:val="false"/>
                <w:iCs w:val="false"/>
                <w:sz w:val="20"/>
                <w:szCs w:val="20"/>
              </w:rPr>
              <w:t xml:space="preserve">20 September 2026</w:t>
            </w:r>
          </w:p>
        </w:tc>
      </w:tr>
      <w:tr>
        <w:tc>
          <w:tcPr>
            <w:tcW w:type="dxa" w:w="2300"/>
          </w:tcPr>
          <w:p>
            <w:pPr>
              <w:spacing w:after="40" w:before="40"/>
            </w:pPr>
            <w:r>
              <w:rPr>
                <w:b w:val="false"/>
                <w:bCs w:val="false"/>
                <w:i w:val="false"/>
                <w:iCs w:val="false"/>
                <w:sz w:val="20"/>
                <w:szCs w:val="20"/>
              </w:rPr>
              <w:t xml:space="preserve">Repository link</w:t>
            </w:r>
          </w:p>
        </w:tc>
        <w:tc>
          <w:tcPr>
            <w:tcW w:type="dxa" w:w="7050"/>
          </w:tcPr>
          <w:p>
            <w:pPr>
              <w:spacing w:after="40" w:before="40"/>
            </w:pPr>
            <w:r>
              <w:rPr>
                <w:b w:val="false"/>
                <w:bCs w:val="false"/>
                <w:i w:val="false"/>
                <w:iCs w:val="false"/>
                <w:sz w:val="20"/>
                <w:szCs w:val="20"/>
              </w:rPr>
              <w:t xml:space="preserve">https://github.com/Abongile1011/group3-cloud-event-service</w:t>
            </w:r>
          </w:p>
        </w:tc>
      </w:tr>
      <w:tr>
        <w:tc>
          <w:tcPr>
            <w:tcW w:type="dxa" w:w="2300"/>
          </w:tcPr>
          <w:p>
            <w:pPr>
              <w:spacing w:after="40" w:before="40"/>
            </w:pPr>
            <w:r>
              <w:rPr>
                <w:b w:val="false"/>
                <w:bCs w:val="false"/>
                <w:i w:val="false"/>
                <w:iCs w:val="false"/>
                <w:sz w:val="20"/>
                <w:szCs w:val="20"/>
              </w:rPr>
              <w:t xml:space="preserve">Team</w:t>
            </w:r>
          </w:p>
        </w:tc>
        <w:tc>
          <w:tcPr>
            <w:tcW w:type="dxa" w:w="7050"/>
          </w:tcPr>
          <w:p>
            <w:pPr>
              <w:spacing w:after="40" w:before="40"/>
            </w:pPr>
            <w:r>
              <w:rPr>
                <w:b w:val="false"/>
                <w:bCs w:val="false"/>
                <w:i w:val="false"/>
                <w:iCs w:val="false"/>
                <w:sz w:val="20"/>
                <w:szCs w:val="20"/>
              </w:rPr>
              <w:t xml:space="preserve">Group 3</w:t>
            </w:r>
          </w:p>
        </w:tc>
      </w:tr>
      <w:tr>
        <w:tc>
          <w:tcPr>
            <w:tcW w:type="dxa" w:w="2300"/>
          </w:tcPr>
          <w:p>
            <w:pPr>
              <w:spacing w:after="40" w:before="40"/>
            </w:pPr>
            <w:r>
              <w:rPr>
                <w:b w:val="false"/>
                <w:bCs w:val="false"/>
                <w:i w:val="false"/>
                <w:iCs w:val="false"/>
                <w:sz w:val="20"/>
                <w:szCs w:val="20"/>
              </w:rPr>
              <w:t xml:space="preserve">Communication channel</w:t>
            </w:r>
          </w:p>
        </w:tc>
        <w:tc>
          <w:tcPr>
            <w:tcW w:type="dxa" w:w="7050"/>
          </w:tcPr>
          <w:p>
            <w:pPr>
              <w:spacing w:after="40" w:before="40"/>
            </w:pPr>
            <w:r>
              <w:rPr>
                <w:b w:val="false"/>
                <w:bCs w:val="false"/>
                <w:i w:val="false"/>
                <w:iCs w:val="false"/>
                <w:sz w:val="20"/>
                <w:szCs w:val="20"/>
              </w:rPr>
              <w:t xml:space="preserve">WhatsApp</w:t>
            </w:r>
          </w:p>
        </w:tc>
      </w:tr>
    </w:tbl>
    <w:p>
      <w:pPr>
        <w:pStyle w:val="Heading1"/>
        <w:spacing w:after="150" w:before="300"/>
      </w:pPr>
      <w:r>
        <w:t xml:space="preserve">1. Milestone 2 Overview</w:t>
      </w:r>
    </w:p>
    <w:p>
      <w:pPr>
        <w:spacing w:after="120" w:before="60"/>
      </w:pPr>
      <w:r>
        <w:rPr>
          <w:b w:val="false"/>
          <w:bCs w:val="false"/>
          <w:i w:val="false"/>
          <w:iCs w:val="false"/>
        </w:rPr>
        <w:t xml:space="preserve">This document converts the Milestone 1 concept — a student file-upload and submission service — into a design whose service choices, interfaces, failure behaviour, permissions and cost units can be defended. It replaces the generic component labels used in Milestone 1 with the selected AWS services, defines every interface as a testable contract, identifies failure points and selects one failure scenario for the final test, documents a threat and credential checklist, produces an indicative cost worksheet, and defines deployment, rollback and teardown procedures ahead of implementation.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A6F1E" w:sz="4"/>
              <w:left w:val="single" w:color="CA6F1E" w:sz="4"/>
              <w:bottom w:val="single" w:color="CA6F1E" w:sz="4"/>
              <w:right w:val="single" w:color="CA6F1E" w:sz="4"/>
            </w:tcBorders>
            <w:shd w:fill="FFF4E5" w:val="clear"/>
          </w:tcPr>
          <w:p>
            <w:pPr>
              <w:spacing w:after="80" w:before="80"/>
            </w:pPr>
            <w:r>
              <w:rPr>
                <w:b/>
                <w:bCs/>
              </w:rPr>
              <w:t xml:space="preserve">DESIGN ASSUMPTION TO CONFIRM WITH TEAM: </w:t>
            </w:r>
            <w:r>
              <w:t xml:space="preserve">Milestone 1 left the exact upload mechanism open. This design assumes the file is uploaded directly from the client to Amazon S3 using a short-lived pre-signed URL, rather than passed through the API Gateway/Lambda request body. This is necessary because base64-encoding a file up to the agreed 10 MB limit would exceed AWS Lambda's 6 MB synchronous payload limit. If the team instead wants a simpler single-Lambda body-upload design for a smaller file-size cap, Section 4 (ADR-1) records the trade-off and this can be revised before submission.</w:t>
            </w:r>
          </w:p>
        </w:tc>
      </w:tr>
    </w:tbl>
    <w:p>
      <w:pPr>
        <w:pStyle w:val="Heading1"/>
        <w:spacing w:after="150" w:before="300"/>
      </w:pPr>
      <w:r>
        <w:t xml:space="preserve">2. Revised Annotated Architecture</w:t>
      </w:r>
    </w:p>
    <w:p>
      <w:pPr>
        <w:spacing w:after="120" w:before="60"/>
      </w:pPr>
      <w:r>
        <w:rPr>
          <w:b w:val="false"/>
          <w:bCs w:val="false"/>
          <w:i w:val="false"/>
          <w:iCs w:val="false"/>
        </w:rPr>
        <w:t xml:space="preserve">Figure 1 replaces the generic Milestone 1 component labels with the selected services and shows the deployment/trust boundary. The flow is split into a request phase (metadata validation + pre-signed URL issue) and an upload phase (direct-to-S3 upload, triggering asynchronous finalisation).</w:t>
      </w:r>
    </w:p>
    <w:p>
      <w:pPr>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i/>
          <w:iCs/>
          <w:sz w:val="18"/>
          <w:szCs w:val="18"/>
        </w:rPr>
        <w:t xml:space="preserve">Figure 1: Milestone 2 revised annotated architecture (also stored at architecture/diagrams/milestone-2-architecture)</w:t>
      </w:r>
    </w:p>
    <w:p>
      <w:pPr>
        <w:pStyle w:val="Heading2"/>
        <w:spacing w:after="120" w:before="240"/>
      </w:pPr>
      <w:r>
        <w:t xml:space="preserve">2.1 Architecture annotation rule</w:t>
      </w:r>
    </w:p>
    <w:p>
      <w:pPr>
        <w:spacing w:after="120" w:before="60"/>
      </w:pPr>
      <w:r>
        <w:rPr>
          <w:b/>
          <w:bCs/>
          <w:i w:val="false"/>
          <w:iCs w:val="false"/>
        </w:rPr>
        <w:t xml:space="preserve">For every component: requirement → service role → trust boundary → input/output → failure behaviour → permission → cost unit → evidence source.</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550"/>
        <w:gridCol w:w="2000"/>
        <w:gridCol w:w="1450"/>
        <w:gridCol w:w="2100"/>
        <w:gridCol w:w="1750"/>
        <w:gridCol w:w="1500"/>
      </w:tblGrid>
      <w:tr>
        <w:trPr>
          <w:tblHeader/>
        </w:trPr>
        <w:tc>
          <w:tcPr>
            <w:tcW w:type="dxa" w:w="1550"/>
            <w:shd w:fill="DCE6F7" w:val="clear"/>
          </w:tcPr>
          <w:p>
            <w:pPr>
              <w:spacing w:after="40" w:before="40"/>
            </w:pPr>
            <w:r>
              <w:rPr>
                <w:b/>
                <w:bCs/>
                <w:i w:val="false"/>
                <w:iCs w:val="false"/>
                <w:sz w:val="20"/>
                <w:szCs w:val="20"/>
              </w:rPr>
              <w:t xml:space="preserve">Component</w:t>
            </w:r>
          </w:p>
        </w:tc>
        <w:tc>
          <w:tcPr>
            <w:tcW w:type="dxa" w:w="2000"/>
            <w:shd w:fill="DCE6F7" w:val="clear"/>
          </w:tcPr>
          <w:p>
            <w:pPr>
              <w:spacing w:after="40" w:before="40"/>
            </w:pPr>
            <w:r>
              <w:rPr>
                <w:b/>
                <w:bCs/>
                <w:i w:val="false"/>
                <w:iCs w:val="false"/>
                <w:sz w:val="20"/>
                <w:szCs w:val="20"/>
              </w:rPr>
              <w:t xml:space="preserve">Requirement</w:t>
            </w:r>
          </w:p>
        </w:tc>
        <w:tc>
          <w:tcPr>
            <w:tcW w:type="dxa" w:w="1450"/>
            <w:shd w:fill="DCE6F7" w:val="clear"/>
          </w:tcPr>
          <w:p>
            <w:pPr>
              <w:spacing w:after="40" w:before="40"/>
            </w:pPr>
            <w:r>
              <w:rPr>
                <w:b/>
                <w:bCs/>
                <w:i w:val="false"/>
                <w:iCs w:val="false"/>
                <w:sz w:val="20"/>
                <w:szCs w:val="20"/>
              </w:rPr>
              <w:t xml:space="preserve">Trust boundary</w:t>
            </w:r>
          </w:p>
        </w:tc>
        <w:tc>
          <w:tcPr>
            <w:tcW w:type="dxa" w:w="2100"/>
            <w:shd w:fill="DCE6F7" w:val="clear"/>
          </w:tcPr>
          <w:p>
            <w:pPr>
              <w:spacing w:after="40" w:before="40"/>
            </w:pPr>
            <w:r>
              <w:rPr>
                <w:b/>
                <w:bCs/>
                <w:i w:val="false"/>
                <w:iCs w:val="false"/>
                <w:sz w:val="20"/>
                <w:szCs w:val="20"/>
              </w:rPr>
              <w:t xml:space="preserve">Failure behaviour</w:t>
            </w:r>
          </w:p>
        </w:tc>
        <w:tc>
          <w:tcPr>
            <w:tcW w:type="dxa" w:w="1750"/>
            <w:shd w:fill="DCE6F7" w:val="clear"/>
          </w:tcPr>
          <w:p>
            <w:pPr>
              <w:spacing w:after="40" w:before="40"/>
            </w:pPr>
            <w:r>
              <w:rPr>
                <w:b/>
                <w:bCs/>
                <w:i w:val="false"/>
                <w:iCs w:val="false"/>
                <w:sz w:val="20"/>
                <w:szCs w:val="20"/>
              </w:rPr>
              <w:t xml:space="preserve">Permission (least privilege)</w:t>
            </w:r>
          </w:p>
        </w:tc>
        <w:tc>
          <w:tcPr>
            <w:tcW w:type="dxa" w:w="1500"/>
            <w:shd w:fill="DCE6F7" w:val="clear"/>
          </w:tcPr>
          <w:p>
            <w:pPr>
              <w:spacing w:after="40" w:before="40"/>
            </w:pPr>
            <w:r>
              <w:rPr>
                <w:b/>
                <w:bCs/>
                <w:i w:val="false"/>
                <w:iCs w:val="false"/>
                <w:sz w:val="20"/>
                <w:szCs w:val="20"/>
              </w:rPr>
              <w:t xml:space="preserve">Cost unit</w:t>
            </w:r>
          </w:p>
        </w:tc>
      </w:tr>
      <w:tr>
        <w:tc>
          <w:tcPr>
            <w:tcW w:type="dxa" w:w="1550"/>
          </w:tcPr>
          <w:p>
            <w:pPr>
              <w:spacing w:after="40" w:before="40"/>
            </w:pPr>
            <w:r>
              <w:rPr>
                <w:b w:val="false"/>
                <w:bCs w:val="false"/>
                <w:i w:val="false"/>
                <w:iCs w:val="false"/>
                <w:sz w:val="20"/>
                <w:szCs w:val="20"/>
              </w:rPr>
              <w:t xml:space="preserve">API Gateway
(POST /submissions)</w:t>
            </w:r>
          </w:p>
        </w:tc>
        <w:tc>
          <w:tcPr>
            <w:tcW w:type="dxa" w:w="2000"/>
          </w:tcPr>
          <w:p>
            <w:pPr>
              <w:spacing w:after="40" w:before="40"/>
            </w:pPr>
            <w:r>
              <w:rPr>
                <w:b w:val="false"/>
                <w:bCs w:val="false"/>
                <w:i w:val="false"/>
                <w:iCs w:val="false"/>
                <w:sz w:val="20"/>
                <w:szCs w:val="20"/>
              </w:rPr>
              <w:t xml:space="preserve">Accept metadata request; reject malformed input at the edge</w:t>
            </w:r>
          </w:p>
        </w:tc>
        <w:tc>
          <w:tcPr>
            <w:tcW w:type="dxa" w:w="1450"/>
          </w:tcPr>
          <w:p>
            <w:pPr>
              <w:spacing w:after="40" w:before="40"/>
            </w:pPr>
            <w:r>
              <w:rPr>
                <w:b w:val="false"/>
                <w:bCs w:val="false"/>
                <w:i w:val="false"/>
                <w:iCs w:val="false"/>
                <w:sz w:val="20"/>
                <w:szCs w:val="20"/>
              </w:rPr>
              <w:t xml:space="preserve">Public boundary</w:t>
            </w:r>
          </w:p>
        </w:tc>
        <w:tc>
          <w:tcPr>
            <w:tcW w:type="dxa" w:w="2100"/>
          </w:tcPr>
          <w:p>
            <w:pPr>
              <w:spacing w:after="40" w:before="40"/>
            </w:pPr>
            <w:r>
              <w:rPr>
                <w:b w:val="false"/>
                <w:bCs w:val="false"/>
                <w:i w:val="false"/>
                <w:iCs w:val="false"/>
                <w:sz w:val="20"/>
                <w:szCs w:val="20"/>
              </w:rPr>
              <w:t xml:space="preserve">Throttled/oversized/malformed request → 4xx before Lambda invoked</w:t>
            </w:r>
          </w:p>
        </w:tc>
        <w:tc>
          <w:tcPr>
            <w:tcW w:type="dxa" w:w="1750"/>
          </w:tcPr>
          <w:p>
            <w:pPr>
              <w:spacing w:after="40" w:before="40"/>
            </w:pPr>
            <w:r>
              <w:rPr>
                <w:b w:val="false"/>
                <w:bCs w:val="false"/>
                <w:i w:val="false"/>
                <w:iCs w:val="false"/>
                <w:sz w:val="20"/>
                <w:szCs w:val="20"/>
              </w:rPr>
              <w:t xml:space="preserve">Resource policy scoped to this API only</w:t>
            </w:r>
          </w:p>
        </w:tc>
        <w:tc>
          <w:tcPr>
            <w:tcW w:type="dxa" w:w="1500"/>
          </w:tcPr>
          <w:p>
            <w:pPr>
              <w:spacing w:after="40" w:before="40"/>
            </w:pPr>
            <w:r>
              <w:rPr>
                <w:b w:val="false"/>
                <w:bCs w:val="false"/>
                <w:i w:val="false"/>
                <w:iCs w:val="false"/>
                <w:sz w:val="20"/>
                <w:szCs w:val="20"/>
              </w:rPr>
              <w:t xml:space="preserve">Per-request charge</w:t>
            </w:r>
          </w:p>
        </w:tc>
      </w:tr>
      <w:tr>
        <w:tc>
          <w:tcPr>
            <w:tcW w:type="dxa" w:w="1550"/>
          </w:tcPr>
          <w:p>
            <w:pPr>
              <w:spacing w:after="40" w:before="40"/>
            </w:pPr>
            <w:r>
              <w:rPr>
                <w:b w:val="false"/>
                <w:bCs w:val="false"/>
                <w:i w:val="false"/>
                <w:iCs w:val="false"/>
                <w:sz w:val="20"/>
                <w:szCs w:val="20"/>
              </w:rPr>
              <w:t xml:space="preserve">Lambda: RequestUpload</w:t>
            </w:r>
          </w:p>
        </w:tc>
        <w:tc>
          <w:tcPr>
            <w:tcW w:type="dxa" w:w="2000"/>
          </w:tcPr>
          <w:p>
            <w:pPr>
              <w:spacing w:after="40" w:before="40"/>
            </w:pPr>
            <w:r>
              <w:rPr>
                <w:b w:val="false"/>
                <w:bCs w:val="false"/>
                <w:i w:val="false"/>
                <w:iCs w:val="false"/>
                <w:sz w:val="20"/>
                <w:szCs w:val="20"/>
              </w:rPr>
              <w:t xml:space="preserve">Validate 5 metadata fields; create submission_id; issue pre-signed PUT URL</w:t>
            </w:r>
          </w:p>
        </w:tc>
        <w:tc>
          <w:tcPr>
            <w:tcW w:type="dxa" w:w="1450"/>
          </w:tcPr>
          <w:p>
            <w:pPr>
              <w:spacing w:after="40" w:before="40"/>
            </w:pPr>
            <w:r>
              <w:rPr>
                <w:b w:val="false"/>
                <w:bCs w:val="false"/>
                <w:i w:val="false"/>
                <w:iCs w:val="false"/>
                <w:sz w:val="20"/>
                <w:szCs w:val="20"/>
              </w:rPr>
              <w:t xml:space="preserve">Private, invoked only by API Gateway</w:t>
            </w:r>
          </w:p>
        </w:tc>
        <w:tc>
          <w:tcPr>
            <w:tcW w:type="dxa" w:w="2100"/>
          </w:tcPr>
          <w:p>
            <w:pPr>
              <w:spacing w:after="40" w:before="40"/>
            </w:pPr>
            <w:r>
              <w:rPr>
                <w:b w:val="false"/>
                <w:bCs w:val="false"/>
                <w:i w:val="false"/>
                <w:iCs w:val="false"/>
                <w:sz w:val="20"/>
                <w:szCs w:val="20"/>
              </w:rPr>
              <w:t xml:space="preserve">Validation error → structured 4xx; DynamoDB write failure → 5xx + no URL issued</w:t>
            </w:r>
          </w:p>
        </w:tc>
        <w:tc>
          <w:tcPr>
            <w:tcW w:type="dxa" w:w="1750"/>
          </w:tcPr>
          <w:p>
            <w:pPr>
              <w:spacing w:after="40" w:before="40"/>
            </w:pPr>
            <w:r>
              <w:rPr>
                <w:b w:val="false"/>
                <w:bCs w:val="false"/>
                <w:i w:val="false"/>
                <w:iCs w:val="false"/>
                <w:sz w:val="20"/>
                <w:szCs w:val="20"/>
              </w:rPr>
              <w:t xml:space="preserve">Execution role: dynamodb:PutItem on Submissions table, s3:PutObject sign-only, logs:PutLogEvents</w:t>
            </w:r>
          </w:p>
        </w:tc>
        <w:tc>
          <w:tcPr>
            <w:tcW w:type="dxa" w:w="1500"/>
          </w:tcPr>
          <w:p>
            <w:pPr>
              <w:spacing w:after="40" w:before="40"/>
            </w:pPr>
            <w:r>
              <w:rPr>
                <w:b w:val="false"/>
                <w:bCs w:val="false"/>
                <w:i w:val="false"/>
                <w:iCs w:val="false"/>
                <w:sz w:val="20"/>
                <w:szCs w:val="20"/>
              </w:rPr>
              <w:t xml:space="preserve">Per invocation + GB-seconds</w:t>
            </w:r>
          </w:p>
        </w:tc>
      </w:tr>
      <w:tr>
        <w:tc>
          <w:tcPr>
            <w:tcW w:type="dxa" w:w="1550"/>
          </w:tcPr>
          <w:p>
            <w:pPr>
              <w:spacing w:after="40" w:before="40"/>
            </w:pPr>
            <w:r>
              <w:rPr>
                <w:b w:val="false"/>
                <w:bCs w:val="false"/>
                <w:i w:val="false"/>
                <w:iCs w:val="false"/>
                <w:sz w:val="20"/>
                <w:szCs w:val="20"/>
              </w:rPr>
              <w:t xml:space="preserve">Amazon S3
(group3-submissions)</w:t>
            </w:r>
          </w:p>
        </w:tc>
        <w:tc>
          <w:tcPr>
            <w:tcW w:type="dxa" w:w="2000"/>
          </w:tcPr>
          <w:p>
            <w:pPr>
              <w:spacing w:after="40" w:before="40"/>
            </w:pPr>
            <w:r>
              <w:rPr>
                <w:b w:val="false"/>
                <w:bCs w:val="false"/>
                <w:i w:val="false"/>
                <w:iCs w:val="false"/>
                <w:sz w:val="20"/>
                <w:szCs w:val="20"/>
              </w:rPr>
              <w:t xml:space="preserve">Durable storage for accepted file bytes</w:t>
            </w:r>
          </w:p>
        </w:tc>
        <w:tc>
          <w:tcPr>
            <w:tcW w:type="dxa" w:w="1450"/>
          </w:tcPr>
          <w:p>
            <w:pPr>
              <w:spacing w:after="40" w:before="40"/>
            </w:pPr>
            <w:r>
              <w:rPr>
                <w:b w:val="false"/>
                <w:bCs w:val="false"/>
                <w:i w:val="false"/>
                <w:iCs w:val="false"/>
                <w:sz w:val="20"/>
                <w:szCs w:val="20"/>
              </w:rPr>
              <w:t xml:space="preserve">Private, IAM/bucket-policy scoped; no public access</w:t>
            </w:r>
          </w:p>
        </w:tc>
        <w:tc>
          <w:tcPr>
            <w:tcW w:type="dxa" w:w="2100"/>
          </w:tcPr>
          <w:p>
            <w:pPr>
              <w:spacing w:after="40" w:before="40"/>
            </w:pPr>
            <w:r>
              <w:rPr>
                <w:b w:val="false"/>
                <w:bCs w:val="false"/>
                <w:i w:val="false"/>
                <w:iCs w:val="false"/>
                <w:sz w:val="20"/>
                <w:szCs w:val="20"/>
              </w:rPr>
              <w:t xml:space="preserve">Upload interrupted → no S3:ObjectCreated event → record stays PENDING (detectable)</w:t>
            </w:r>
          </w:p>
        </w:tc>
        <w:tc>
          <w:tcPr>
            <w:tcW w:type="dxa" w:w="1750"/>
          </w:tcPr>
          <w:p>
            <w:pPr>
              <w:spacing w:after="40" w:before="40"/>
            </w:pPr>
            <w:r>
              <w:rPr>
                <w:b w:val="false"/>
                <w:bCs w:val="false"/>
                <w:i w:val="false"/>
                <w:iCs w:val="false"/>
                <w:sz w:val="20"/>
                <w:szCs w:val="20"/>
              </w:rPr>
              <w:t xml:space="preserve">Bucket policy: PutObject only via pre-signed URL; no public ACLs</w:t>
            </w:r>
          </w:p>
        </w:tc>
        <w:tc>
          <w:tcPr>
            <w:tcW w:type="dxa" w:w="1500"/>
          </w:tcPr>
          <w:p>
            <w:pPr>
              <w:spacing w:after="40" w:before="40"/>
            </w:pPr>
            <w:r>
              <w:rPr>
                <w:b w:val="false"/>
                <w:bCs w:val="false"/>
                <w:i w:val="false"/>
                <w:iCs w:val="false"/>
                <w:sz w:val="20"/>
                <w:szCs w:val="20"/>
              </w:rPr>
              <w:t xml:space="preserve">Storage (GB-month) + PUT/GET requests</w:t>
            </w:r>
          </w:p>
        </w:tc>
      </w:tr>
      <w:tr>
        <w:tc>
          <w:tcPr>
            <w:tcW w:type="dxa" w:w="1550"/>
          </w:tcPr>
          <w:p>
            <w:pPr>
              <w:spacing w:after="40" w:before="40"/>
            </w:pPr>
            <w:r>
              <w:rPr>
                <w:b w:val="false"/>
                <w:bCs w:val="false"/>
                <w:i w:val="false"/>
                <w:iCs w:val="false"/>
                <w:sz w:val="20"/>
                <w:szCs w:val="20"/>
              </w:rPr>
              <w:t xml:space="preserve">Lambda: ProcessUpload</w:t>
            </w:r>
          </w:p>
        </w:tc>
        <w:tc>
          <w:tcPr>
            <w:tcW w:type="dxa" w:w="2000"/>
          </w:tcPr>
          <w:p>
            <w:pPr>
              <w:spacing w:after="40" w:before="40"/>
            </w:pPr>
            <w:r>
              <w:rPr>
                <w:b w:val="false"/>
                <w:bCs w:val="false"/>
                <w:i w:val="false"/>
                <w:iCs w:val="false"/>
                <w:sz w:val="20"/>
                <w:szCs w:val="20"/>
              </w:rPr>
              <w:t xml:space="preserve">Verify uploaded object (type/size), finalise metadata record, log outcome</w:t>
            </w:r>
          </w:p>
        </w:tc>
        <w:tc>
          <w:tcPr>
            <w:tcW w:type="dxa" w:w="1450"/>
          </w:tcPr>
          <w:p>
            <w:pPr>
              <w:spacing w:after="40" w:before="40"/>
            </w:pPr>
            <w:r>
              <w:rPr>
                <w:b w:val="false"/>
                <w:bCs w:val="false"/>
                <w:i w:val="false"/>
                <w:iCs w:val="false"/>
                <w:sz w:val="20"/>
                <w:szCs w:val="20"/>
              </w:rPr>
              <w:t xml:space="preserve">Private, invoked only by S3 event</w:t>
            </w:r>
          </w:p>
        </w:tc>
        <w:tc>
          <w:tcPr>
            <w:tcW w:type="dxa" w:w="2100"/>
          </w:tcPr>
          <w:p>
            <w:pPr>
              <w:spacing w:after="40" w:before="40"/>
            </w:pPr>
            <w:r>
              <w:rPr>
                <w:b w:val="false"/>
                <w:bCs w:val="false"/>
                <w:i w:val="false"/>
                <w:iCs w:val="false"/>
                <w:sz w:val="20"/>
                <w:szCs w:val="20"/>
              </w:rPr>
              <w:t xml:space="preserve">Verification fails → status=REJECTED + object deleted; Lambda error → DynamoDB retains PENDING, visible in CloudWatch alarm</w:t>
            </w:r>
          </w:p>
        </w:tc>
        <w:tc>
          <w:tcPr>
            <w:tcW w:type="dxa" w:w="1750"/>
          </w:tcPr>
          <w:p>
            <w:pPr>
              <w:spacing w:after="40" w:before="40"/>
            </w:pPr>
            <w:r>
              <w:rPr>
                <w:b w:val="false"/>
                <w:bCs w:val="false"/>
                <w:i w:val="false"/>
                <w:iCs w:val="false"/>
                <w:sz w:val="20"/>
                <w:szCs w:val="20"/>
              </w:rPr>
              <w:t xml:space="preserve">Execution role: s3:GetObject/DeleteObject on this bucket only, dynamodb:UpdateItem, logs:PutLogEvents</w:t>
            </w:r>
          </w:p>
        </w:tc>
        <w:tc>
          <w:tcPr>
            <w:tcW w:type="dxa" w:w="1500"/>
          </w:tcPr>
          <w:p>
            <w:pPr>
              <w:spacing w:after="40" w:before="40"/>
            </w:pPr>
            <w:r>
              <w:rPr>
                <w:b w:val="false"/>
                <w:bCs w:val="false"/>
                <w:i w:val="false"/>
                <w:iCs w:val="false"/>
                <w:sz w:val="20"/>
                <w:szCs w:val="20"/>
              </w:rPr>
              <w:t xml:space="preserve">Per invocation + GB-seconds</w:t>
            </w:r>
          </w:p>
        </w:tc>
      </w:tr>
      <w:tr>
        <w:tc>
          <w:tcPr>
            <w:tcW w:type="dxa" w:w="1550"/>
          </w:tcPr>
          <w:p>
            <w:pPr>
              <w:spacing w:after="40" w:before="40"/>
            </w:pPr>
            <w:r>
              <w:rPr>
                <w:b w:val="false"/>
                <w:bCs w:val="false"/>
                <w:i w:val="false"/>
                <w:iCs w:val="false"/>
                <w:sz w:val="20"/>
                <w:szCs w:val="20"/>
              </w:rPr>
              <w:t xml:space="preserve">DynamoDB
(Submissions table)</w:t>
            </w:r>
          </w:p>
        </w:tc>
        <w:tc>
          <w:tcPr>
            <w:tcW w:type="dxa" w:w="2000"/>
          </w:tcPr>
          <w:p>
            <w:pPr>
              <w:spacing w:after="40" w:before="40"/>
            </w:pPr>
            <w:r>
              <w:rPr>
                <w:b w:val="false"/>
                <w:bCs w:val="false"/>
                <w:i w:val="false"/>
                <w:iCs w:val="false"/>
                <w:sz w:val="20"/>
                <w:szCs w:val="20"/>
              </w:rPr>
              <w:t xml:space="preserve">Durable submission metadata keyed by submission_id</w:t>
            </w:r>
          </w:p>
        </w:tc>
        <w:tc>
          <w:tcPr>
            <w:tcW w:type="dxa" w:w="1450"/>
          </w:tcPr>
          <w:p>
            <w:pPr>
              <w:spacing w:after="40" w:before="40"/>
            </w:pPr>
            <w:r>
              <w:rPr>
                <w:b w:val="false"/>
                <w:bCs w:val="false"/>
                <w:i w:val="false"/>
                <w:iCs w:val="false"/>
                <w:sz w:val="20"/>
                <w:szCs w:val="20"/>
              </w:rPr>
              <w:t xml:space="preserve">Private, IAM-scoped; no public access</w:t>
            </w:r>
          </w:p>
        </w:tc>
        <w:tc>
          <w:tcPr>
            <w:tcW w:type="dxa" w:w="2100"/>
          </w:tcPr>
          <w:p>
            <w:pPr>
              <w:spacing w:after="40" w:before="40"/>
            </w:pPr>
            <w:r>
              <w:rPr>
                <w:b w:val="false"/>
                <w:bCs w:val="false"/>
                <w:i w:val="false"/>
                <w:iCs w:val="false"/>
                <w:sz w:val="20"/>
                <w:szCs w:val="20"/>
              </w:rPr>
              <w:t xml:space="preserve">Throttled write → Lambda retries with backoff; persistent failure logged and surfaced to client on next status check</w:t>
            </w:r>
          </w:p>
        </w:tc>
        <w:tc>
          <w:tcPr>
            <w:tcW w:type="dxa" w:w="1750"/>
          </w:tcPr>
          <w:p>
            <w:pPr>
              <w:spacing w:after="40" w:before="40"/>
            </w:pPr>
            <w:r>
              <w:rPr>
                <w:b w:val="false"/>
                <w:bCs w:val="false"/>
                <w:i w:val="false"/>
                <w:iCs w:val="false"/>
                <w:sz w:val="20"/>
                <w:szCs w:val="20"/>
              </w:rPr>
              <w:t xml:space="preserve">Two IAM roles only (RequestUpload: Put; ProcessUpload: Update); no admin/console access</w:t>
            </w:r>
          </w:p>
        </w:tc>
        <w:tc>
          <w:tcPr>
            <w:tcW w:type="dxa" w:w="1500"/>
          </w:tcPr>
          <w:p>
            <w:pPr>
              <w:spacing w:after="40" w:before="40"/>
            </w:pPr>
            <w:r>
              <w:rPr>
                <w:b w:val="false"/>
                <w:bCs w:val="false"/>
                <w:i w:val="false"/>
                <w:iCs w:val="false"/>
                <w:sz w:val="20"/>
                <w:szCs w:val="20"/>
              </w:rPr>
              <w:t xml:space="preserve">On-demand read/write capacity units + storage</w:t>
            </w:r>
          </w:p>
        </w:tc>
      </w:tr>
      <w:tr>
        <w:tc>
          <w:tcPr>
            <w:tcW w:type="dxa" w:w="1550"/>
          </w:tcPr>
          <w:p>
            <w:pPr>
              <w:spacing w:after="40" w:before="40"/>
            </w:pPr>
            <w:r>
              <w:rPr>
                <w:b w:val="false"/>
                <w:bCs w:val="false"/>
                <w:i w:val="false"/>
                <w:iCs w:val="false"/>
                <w:sz w:val="20"/>
                <w:szCs w:val="20"/>
              </w:rPr>
              <w:t xml:space="preserve">CloudWatch Logs</w:t>
            </w:r>
          </w:p>
        </w:tc>
        <w:tc>
          <w:tcPr>
            <w:tcW w:type="dxa" w:w="2000"/>
          </w:tcPr>
          <w:p>
            <w:pPr>
              <w:spacing w:after="40" w:before="40"/>
            </w:pPr>
            <w:r>
              <w:rPr>
                <w:b w:val="false"/>
                <w:bCs w:val="false"/>
                <w:i w:val="false"/>
                <w:iCs w:val="false"/>
                <w:sz w:val="20"/>
                <w:szCs w:val="20"/>
              </w:rPr>
              <w:t xml:space="preserve">Structured logs for accepted/rejected/failed executions, correlated by submission_id</w:t>
            </w:r>
          </w:p>
        </w:tc>
        <w:tc>
          <w:tcPr>
            <w:tcW w:type="dxa" w:w="1450"/>
          </w:tcPr>
          <w:p>
            <w:pPr>
              <w:spacing w:after="40" w:before="40"/>
            </w:pPr>
            <w:r>
              <w:rPr>
                <w:b w:val="false"/>
                <w:bCs w:val="false"/>
                <w:i w:val="false"/>
                <w:iCs w:val="false"/>
                <w:sz w:val="20"/>
                <w:szCs w:val="20"/>
              </w:rPr>
              <w:t xml:space="preserve">Private, team/operator read access only</w:t>
            </w:r>
          </w:p>
        </w:tc>
        <w:tc>
          <w:tcPr>
            <w:tcW w:type="dxa" w:w="2100"/>
          </w:tcPr>
          <w:p>
            <w:pPr>
              <w:spacing w:after="40" w:before="40"/>
            </w:pPr>
            <w:r>
              <w:rPr>
                <w:b w:val="false"/>
                <w:bCs w:val="false"/>
                <w:i w:val="false"/>
                <w:iCs w:val="false"/>
                <w:sz w:val="20"/>
                <w:szCs w:val="20"/>
              </w:rPr>
              <w:t xml:space="preserve">Log delivery failure does not block the request path (fire-and-forget)</w:t>
            </w:r>
          </w:p>
        </w:tc>
        <w:tc>
          <w:tcPr>
            <w:tcW w:type="dxa" w:w="1750"/>
          </w:tcPr>
          <w:p>
            <w:pPr>
              <w:spacing w:after="40" w:before="40"/>
            </w:pPr>
            <w:r>
              <w:rPr>
                <w:b w:val="false"/>
                <w:bCs w:val="false"/>
                <w:i w:val="false"/>
                <w:iCs w:val="false"/>
                <w:sz w:val="20"/>
                <w:szCs w:val="20"/>
              </w:rPr>
              <w:t xml:space="preserve">Lambda execution roles hold logs:CreateLogStream/PutLogEvents only</w:t>
            </w:r>
          </w:p>
        </w:tc>
        <w:tc>
          <w:tcPr>
            <w:tcW w:type="dxa" w:w="1500"/>
          </w:tcPr>
          <w:p>
            <w:pPr>
              <w:spacing w:after="40" w:before="40"/>
            </w:pPr>
            <w:r>
              <w:rPr>
                <w:b w:val="false"/>
                <w:bCs w:val="false"/>
                <w:i w:val="false"/>
                <w:iCs w:val="false"/>
                <w:sz w:val="20"/>
                <w:szCs w:val="20"/>
              </w:rPr>
              <w:t xml:space="preserve">Ingested GB + retention storage</w:t>
            </w:r>
          </w:p>
        </w:tc>
      </w:tr>
    </w:tbl>
    <w:p>
      <w:pPr>
        <w:pStyle w:val="Heading1"/>
        <w:spacing w:after="150" w:before="300"/>
      </w:pPr>
      <w:r>
        <w:t xml:space="preserve">3. Service-choice / Alternative Decision Records</w:t>
      </w:r>
    </w:p>
    <w:p>
      <w:pPr>
        <w:pStyle w:val="Heading3"/>
        <w:spacing w:after="100" w:before="180"/>
      </w:pPr>
      <w:r>
        <w:t xml:space="preserve">ADR-1: Direct-to-S3 pre-signed upload vs Lambda body upload</w:t>
      </w:r>
    </w:p>
    <w:p>
      <w:pPr>
        <w:spacing w:after="120" w:before="60"/>
      </w:pPr>
      <w:r>
        <w:rPr>
          <w:b w:val="false"/>
          <w:bCs w:val="false"/>
          <w:i w:val="false"/>
          <w:iCs w:val="false"/>
        </w:rPr>
        <w:t xml:space="preserve">Decision: Client uploads file bytes directly to S3 using a pre-signed URL issued by RequestUpload; API Gateway/Lambda only ever carry small JSON metadata.</w:t>
      </w:r>
    </w:p>
    <w:p>
      <w:pPr>
        <w:spacing w:after="120" w:before="60"/>
      </w:pPr>
      <w:r>
        <w:rPr>
          <w:b w:val="false"/>
          <w:bCs w:val="false"/>
          <w:i w:val="false"/>
          <w:iCs w:val="false"/>
        </w:rPr>
        <w:t xml:space="preserve">Alternative considered: Send the file as a base64-encoded field in the API Gateway/Lambda request body, processed synchronously in one Lambda.</w:t>
      </w:r>
    </w:p>
    <w:p>
      <w:pPr>
        <w:spacing w:after="120" w:before="60"/>
      </w:pPr>
      <w:r>
        <w:rPr>
          <w:b w:val="false"/>
          <w:bCs w:val="false"/>
          <w:i w:val="false"/>
          <w:iCs w:val="false"/>
        </w:rPr>
        <w:t xml:space="preserve">Rationale: Base64 inflates payload size by roughly 33%, so the agreed 10 MB file limit would produce a ~13.3 MB request — over both the Lambda 6 MB synchronous payload limit and close to the API Gateway 10 MB limit. The pre-signed URL approach keeps large binary transfer out of Lambda entirely, removes the size ceiling (subject to the agreed 10 MB validation rule, now enforced by ProcessUpload after upload), and matches the trust-boundary rule that persistent state should not be hidden inside a replaceable function.</w:t>
      </w:r>
    </w:p>
    <w:p>
      <w:pPr>
        <w:spacing w:after="120" w:before="60"/>
      </w:pPr>
      <w:r>
        <w:rPr>
          <w:b w:val="false"/>
          <w:bCs w:val="false"/>
          <w:i w:val="false"/>
          <w:iCs w:val="false"/>
        </w:rPr>
        <w:t xml:space="preserve">Consequence: The event path now has two Lambda invocations and an intermediate PENDING state, which must be reflected in the failure table (Section 5) and the F4 traceability criterion.</w:t>
      </w:r>
    </w:p>
    <w:p>
      <w:pPr>
        <w:pStyle w:val="Heading3"/>
        <w:spacing w:after="100" w:before="180"/>
      </w:pPr>
      <w:r>
        <w:t xml:space="preserve">ADR-2: Two-Lambda split (RequestUpload / ProcessUpload) vs single Lambda</w:t>
      </w:r>
    </w:p>
    <w:p>
      <w:pPr>
        <w:spacing w:after="120" w:before="60"/>
      </w:pPr>
      <w:r>
        <w:rPr>
          <w:b w:val="false"/>
          <w:bCs w:val="false"/>
          <w:i w:val="false"/>
          <w:iCs w:val="false"/>
        </w:rPr>
        <w:t xml:space="preserve">Decision: Split responsibility into RequestUpload (synchronous, API Gateway-triggered) and ProcessUpload (asynchronous, S3-event-triggered).</w:t>
      </w:r>
    </w:p>
    <w:p>
      <w:pPr>
        <w:spacing w:after="120" w:before="60"/>
      </w:pPr>
      <w:r>
        <w:rPr>
          <w:b w:val="false"/>
          <w:bCs w:val="false"/>
          <w:i w:val="false"/>
          <w:iCs w:val="false"/>
        </w:rPr>
        <w:t xml:space="preserve">Rationale: A single Lambda cannot both respond synchronously to the client with a pre-signed URL and later react to the S3 upload event — those are two separate invocations by design. Splitting also gives each function a narrower IAM role (least privilege) and an independently testable failure scenario.</w:t>
      </w:r>
    </w:p>
    <w:p>
      <w:pPr>
        <w:pStyle w:val="Heading3"/>
        <w:spacing w:after="100" w:before="180"/>
      </w:pPr>
      <w:r>
        <w:t xml:space="preserve">ADR-3: DynamoDB single-table design keyed by submission_id</w:t>
      </w:r>
    </w:p>
    <w:p>
      <w:pPr>
        <w:spacing w:after="120" w:before="60"/>
      </w:pPr>
      <w:r>
        <w:rPr>
          <w:b w:val="false"/>
          <w:bCs w:val="false"/>
          <w:i w:val="false"/>
          <w:iCs w:val="false"/>
        </w:rPr>
        <w:t xml:space="preserve">Decision: One Submissions table, partition key = submission_id (string), with a status attribute (PENDING → ACCEPTED/REJECTED).</w:t>
      </w:r>
    </w:p>
    <w:p>
      <w:pPr>
        <w:spacing w:after="120" w:before="60"/>
      </w:pPr>
      <w:r>
        <w:rPr>
          <w:b w:val="false"/>
          <w:bCs w:val="false"/>
          <w:i w:val="false"/>
          <w:iCs w:val="false"/>
        </w:rPr>
        <w:t xml:space="preserve">Rationale: Milestone 1's traceability rule requires one correlation ID linking input, log, stored result and response. A single table keyed by that same ID satisfies this directly and keeps the cost model simple for Milestone 2's scope.</w:t>
      </w:r>
    </w:p>
    <w:p>
      <w:pPr>
        <w:pStyle w:val="Heading1"/>
        <w:spacing w:after="150" w:before="300"/>
      </w:pPr>
      <w:r>
        <w:t xml:space="preserve">4. Interface Contracts</w:t>
      </w:r>
    </w:p>
    <w:p>
      <w:pPr>
        <w:pStyle w:val="Heading2"/>
        <w:spacing w:after="120" w:before="240"/>
      </w:pPr>
      <w:r>
        <w:t xml:space="preserve">4.1 Interface: RequestUpload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CE6F7" w:val="clear"/>
          </w:tcPr>
          <w:p>
            <w:pPr>
              <w:spacing w:after="40" w:before="40"/>
            </w:pPr>
            <w:r>
              <w:rPr>
                <w:b/>
                <w:bCs/>
                <w:i w:val="false"/>
                <w:iCs w:val="false"/>
                <w:sz w:val="20"/>
                <w:szCs w:val="20"/>
              </w:rPr>
              <w:t xml:space="preserve">Field</w:t>
            </w:r>
          </w:p>
        </w:tc>
        <w:tc>
          <w:tcPr>
            <w:tcW w:type="dxa" w:w="7050"/>
            <w:shd w:fill="DCE6F7" w:val="clear"/>
          </w:tcPr>
          <w:p>
            <w:pPr>
              <w:spacing w:after="40" w:before="40"/>
            </w:pPr>
            <w:r>
              <w:rPr>
                <w:b/>
                <w:bCs/>
                <w:i w:val="false"/>
                <w:iCs w:val="false"/>
                <w:sz w:val="20"/>
                <w:szCs w:val="20"/>
              </w:rPr>
              <w:t xml:space="preserve">Definition</w:t>
            </w:r>
          </w:p>
        </w:tc>
      </w:tr>
      <w:tr>
        <w:tc>
          <w:tcPr>
            <w:tcW w:type="dxa" w:w="2300"/>
          </w:tcPr>
          <w:p>
            <w:pPr>
              <w:spacing w:after="40" w:before="40"/>
            </w:pPr>
            <w:r>
              <w:rPr>
                <w:b w:val="false"/>
                <w:bCs w:val="false"/>
                <w:i w:val="false"/>
                <w:iCs w:val="false"/>
                <w:sz w:val="20"/>
                <w:szCs w:val="20"/>
              </w:rPr>
              <w:t xml:space="preserve">Trigger/endpoint</w:t>
            </w:r>
          </w:p>
        </w:tc>
        <w:tc>
          <w:tcPr>
            <w:tcW w:type="dxa" w:w="7050"/>
          </w:tcPr>
          <w:p>
            <w:pPr>
              <w:spacing w:after="40" w:before="40"/>
            </w:pPr>
            <w:r>
              <w:rPr>
                <w:b w:val="false"/>
                <w:bCs w:val="false"/>
                <w:i w:val="false"/>
                <w:iCs w:val="false"/>
                <w:sz w:val="20"/>
                <w:szCs w:val="20"/>
              </w:rPr>
              <w:t xml:space="preserve">POST /submissions via Amazon API Gateway</w:t>
            </w:r>
          </w:p>
        </w:tc>
      </w:tr>
      <w:tr>
        <w:tc>
          <w:tcPr>
            <w:tcW w:type="dxa" w:w="2300"/>
          </w:tcPr>
          <w:p>
            <w:pPr>
              <w:spacing w:after="40" w:before="40"/>
            </w:pPr>
            <w:r>
              <w:rPr>
                <w:b w:val="false"/>
                <w:bCs w:val="false"/>
                <w:i w:val="false"/>
                <w:iCs w:val="false"/>
                <w:sz w:val="20"/>
                <w:szCs w:val="20"/>
              </w:rPr>
              <w:t xml:space="preserve">Input</w:t>
            </w:r>
          </w:p>
        </w:tc>
        <w:tc>
          <w:tcPr>
            <w:tcW w:type="dxa" w:w="7050"/>
          </w:tcPr>
          <w:p>
            <w:pPr>
              <w:spacing w:after="40" w:before="40"/>
            </w:pPr>
            <w:r>
              <w:rPr>
                <w:b w:val="false"/>
                <w:bCs w:val="false"/>
                <w:i w:val="false"/>
                <w:iCs w:val="false"/>
                <w:sz w:val="20"/>
                <w:szCs w:val="20"/>
              </w:rPr>
              <w:t xml:space="preserve">JSON body: student_ref, course_code, assessment, file_name, content_type, file_size_bytes (same five metadata fields as the Milestone 1 event contract)</w:t>
            </w:r>
          </w:p>
        </w:tc>
      </w:tr>
      <w:tr>
        <w:tc>
          <w:tcPr>
            <w:tcW w:type="dxa" w:w="2300"/>
          </w:tcPr>
          <w:p>
            <w:pPr>
              <w:spacing w:after="40" w:before="40"/>
            </w:pPr>
            <w:r>
              <w:rPr>
                <w:b w:val="false"/>
                <w:bCs w:val="false"/>
                <w:i w:val="false"/>
                <w:iCs w:val="false"/>
                <w:sz w:val="20"/>
                <w:szCs w:val="20"/>
              </w:rPr>
              <w:t xml:space="preserve">Validation</w:t>
            </w:r>
          </w:p>
        </w:tc>
        <w:tc>
          <w:tcPr>
            <w:tcW w:type="dxa" w:w="7050"/>
          </w:tcPr>
          <w:p>
            <w:pPr>
              <w:spacing w:after="40" w:before="40"/>
            </w:pPr>
            <w:r>
              <w:rPr>
                <w:b w:val="false"/>
                <w:bCs w:val="false"/>
                <w:i w:val="false"/>
                <w:iCs w:val="false"/>
                <w:sz w:val="20"/>
                <w:szCs w:val="20"/>
              </w:rPr>
              <w:t xml:space="preserve">Same rules as Milestone 1 §4.2: field length/format checks, content_type in {application/pdf, DOCX MIME type, text/plain}, 0 &lt; file_size_bytes ≤ 10 MB</w:t>
            </w:r>
          </w:p>
        </w:tc>
      </w:tr>
      <w:tr>
        <w:tc>
          <w:tcPr>
            <w:tcW w:type="dxa" w:w="2300"/>
          </w:tcPr>
          <w:p>
            <w:pPr>
              <w:spacing w:after="40" w:before="40"/>
            </w:pPr>
            <w:r>
              <w:rPr>
                <w:b w:val="false"/>
                <w:bCs w:val="false"/>
                <w:i w:val="false"/>
                <w:iCs w:val="false"/>
                <w:sz w:val="20"/>
                <w:szCs w:val="20"/>
              </w:rPr>
              <w:t xml:space="preserve">Success output</w:t>
            </w:r>
          </w:p>
        </w:tc>
        <w:tc>
          <w:tcPr>
            <w:tcW w:type="dxa" w:w="7050"/>
          </w:tcPr>
          <w:p>
            <w:pPr>
              <w:spacing w:after="40" w:before="40"/>
            </w:pPr>
            <w:r>
              <w:rPr>
                <w:b w:val="false"/>
                <w:bCs w:val="false"/>
                <w:i w:val="false"/>
                <w:iCs w:val="false"/>
                <w:sz w:val="20"/>
                <w:szCs w:val="20"/>
              </w:rPr>
              <w:t xml:space="preserve">HTTP 200: { submission_id, upload_url, expires_in }. DynamoDB record created with status=PENDING</w:t>
            </w:r>
          </w:p>
        </w:tc>
      </w:tr>
      <w:tr>
        <w:tc>
          <w:tcPr>
            <w:tcW w:type="dxa" w:w="2300"/>
          </w:tcPr>
          <w:p>
            <w:pPr>
              <w:spacing w:after="40" w:before="40"/>
            </w:pPr>
            <w:r>
              <w:rPr>
                <w:b w:val="false"/>
                <w:bCs w:val="false"/>
                <w:i w:val="false"/>
                <w:iCs w:val="false"/>
                <w:sz w:val="20"/>
                <w:szCs w:val="20"/>
              </w:rPr>
              <w:t xml:space="preserve">Failure output</w:t>
            </w:r>
          </w:p>
        </w:tc>
        <w:tc>
          <w:tcPr>
            <w:tcW w:type="dxa" w:w="7050"/>
          </w:tcPr>
          <w:p>
            <w:pPr>
              <w:spacing w:after="40" w:before="40"/>
            </w:pPr>
            <w:r>
              <w:rPr>
                <w:b w:val="false"/>
                <w:bCs w:val="false"/>
                <w:i w:val="false"/>
                <w:iCs w:val="false"/>
                <w:sz w:val="20"/>
                <w:szCs w:val="20"/>
              </w:rPr>
              <w:t xml:space="preserve">HTTP 400: { status: "rejected", error: "VALIDATION_ERROR", message }. No DynamoDB record created; rejection logged</w:t>
            </w:r>
          </w:p>
        </w:tc>
      </w:tr>
      <w:tr>
        <w:tc>
          <w:tcPr>
            <w:tcW w:type="dxa" w:w="2300"/>
          </w:tcPr>
          <w:p>
            <w:pPr>
              <w:spacing w:after="40" w:before="40"/>
            </w:pPr>
            <w:r>
              <w:rPr>
                <w:b w:val="false"/>
                <w:bCs w:val="false"/>
                <w:i w:val="false"/>
                <w:iCs w:val="false"/>
                <w:sz w:val="20"/>
                <w:szCs w:val="20"/>
              </w:rPr>
              <w:t xml:space="preserve">Idempotency</w:t>
            </w:r>
          </w:p>
        </w:tc>
        <w:tc>
          <w:tcPr>
            <w:tcW w:type="dxa" w:w="7050"/>
          </w:tcPr>
          <w:p>
            <w:pPr>
              <w:spacing w:after="40" w:before="40"/>
            </w:pPr>
            <w:r>
              <w:rPr>
                <w:b w:val="false"/>
                <w:bCs w:val="false"/>
                <w:i w:val="false"/>
                <w:iCs w:val="false"/>
                <w:sz w:val="20"/>
                <w:szCs w:val="20"/>
              </w:rPr>
              <w:t xml:space="preserve">Client-supplied idempotency key (optional header) checked against DynamoDB before creating a new submission_id, to avoid duplicate PENDING records on retry</w:t>
            </w:r>
          </w:p>
        </w:tc>
      </w:tr>
      <w:tr>
        <w:tc>
          <w:tcPr>
            <w:tcW w:type="dxa" w:w="2300"/>
          </w:tcPr>
          <w:p>
            <w:pPr>
              <w:spacing w:after="40" w:before="40"/>
            </w:pPr>
            <w:r>
              <w:rPr>
                <w:b w:val="false"/>
                <w:bCs w:val="false"/>
                <w:i w:val="false"/>
                <w:iCs w:val="false"/>
                <w:sz w:val="20"/>
                <w:szCs w:val="20"/>
              </w:rPr>
              <w:t xml:space="preserve">Owner</w:t>
            </w:r>
          </w:p>
        </w:tc>
        <w:tc>
          <w:tcPr>
            <w:tcW w:type="dxa" w:w="7050"/>
          </w:tcPr>
          <w:p>
            <w:pPr>
              <w:spacing w:after="40" w:before="40"/>
            </w:pPr>
            <w:r>
              <w:rPr>
                <w:b w:val="false"/>
                <w:bCs w:val="false"/>
                <w:i w:val="false"/>
                <w:iCs w:val="false"/>
                <w:sz w:val="20"/>
                <w:szCs w:val="20"/>
              </w:rPr>
              <w:t xml:space="preserve">Mbalenhle Precide Shandu (Function/Application Developer)</w:t>
            </w:r>
          </w:p>
        </w:tc>
      </w:tr>
    </w:tbl>
    <w:p>
      <w:pPr>
        <w:pStyle w:val="Heading2"/>
        <w:spacing w:after="120" w:before="240"/>
      </w:pPr>
      <w:r>
        <w:t xml:space="preserve">4.2 Interface: ProcessUpload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DCE6F7" w:val="clear"/>
          </w:tcPr>
          <w:p>
            <w:pPr>
              <w:spacing w:after="40" w:before="40"/>
            </w:pPr>
            <w:r>
              <w:rPr>
                <w:b/>
                <w:bCs/>
                <w:i w:val="false"/>
                <w:iCs w:val="false"/>
                <w:sz w:val="20"/>
                <w:szCs w:val="20"/>
              </w:rPr>
              <w:t xml:space="preserve">Field</w:t>
            </w:r>
          </w:p>
        </w:tc>
        <w:tc>
          <w:tcPr>
            <w:tcW w:type="dxa" w:w="7050"/>
            <w:shd w:fill="DCE6F7" w:val="clear"/>
          </w:tcPr>
          <w:p>
            <w:pPr>
              <w:spacing w:after="40" w:before="40"/>
            </w:pPr>
            <w:r>
              <w:rPr>
                <w:b/>
                <w:bCs/>
                <w:i w:val="false"/>
                <w:iCs w:val="false"/>
                <w:sz w:val="20"/>
                <w:szCs w:val="20"/>
              </w:rPr>
              <w:t xml:space="preserve">Definition</w:t>
            </w:r>
          </w:p>
        </w:tc>
      </w:tr>
      <w:tr>
        <w:tc>
          <w:tcPr>
            <w:tcW w:type="dxa" w:w="2300"/>
          </w:tcPr>
          <w:p>
            <w:pPr>
              <w:spacing w:after="40" w:before="40"/>
            </w:pPr>
            <w:r>
              <w:rPr>
                <w:b w:val="false"/>
                <w:bCs w:val="false"/>
                <w:i w:val="false"/>
                <w:iCs w:val="false"/>
                <w:sz w:val="20"/>
                <w:szCs w:val="20"/>
              </w:rPr>
              <w:t xml:space="preserve">Trigger/endpoint</w:t>
            </w:r>
          </w:p>
        </w:tc>
        <w:tc>
          <w:tcPr>
            <w:tcW w:type="dxa" w:w="7050"/>
          </w:tcPr>
          <w:p>
            <w:pPr>
              <w:spacing w:after="40" w:before="40"/>
            </w:pPr>
            <w:r>
              <w:rPr>
                <w:b w:val="false"/>
                <w:bCs w:val="false"/>
                <w:i w:val="false"/>
                <w:iCs w:val="false"/>
                <w:sz w:val="20"/>
                <w:szCs w:val="20"/>
              </w:rPr>
              <w:t xml:space="preserve">Amazon S3 ObjectCreated event on group3-submissions bucket</w:t>
            </w:r>
          </w:p>
        </w:tc>
      </w:tr>
      <w:tr>
        <w:tc>
          <w:tcPr>
            <w:tcW w:type="dxa" w:w="2300"/>
          </w:tcPr>
          <w:p>
            <w:pPr>
              <w:spacing w:after="40" w:before="40"/>
            </w:pPr>
            <w:r>
              <w:rPr>
                <w:b w:val="false"/>
                <w:bCs w:val="false"/>
                <w:i w:val="false"/>
                <w:iCs w:val="false"/>
                <w:sz w:val="20"/>
                <w:szCs w:val="20"/>
              </w:rPr>
              <w:t xml:space="preserve">Input</w:t>
            </w:r>
          </w:p>
        </w:tc>
        <w:tc>
          <w:tcPr>
            <w:tcW w:type="dxa" w:w="7050"/>
          </w:tcPr>
          <w:p>
            <w:pPr>
              <w:spacing w:after="40" w:before="40"/>
            </w:pPr>
            <w:r>
              <w:rPr>
                <w:b w:val="false"/>
                <w:bCs w:val="false"/>
                <w:i w:val="false"/>
                <w:iCs w:val="false"/>
                <w:sz w:val="20"/>
                <w:szCs w:val="20"/>
              </w:rPr>
              <w:t xml:space="preserve">S3 event payload: bucket, object key (= submission_id), object size, content type from S3 metadata</w:t>
            </w:r>
          </w:p>
        </w:tc>
      </w:tr>
      <w:tr>
        <w:tc>
          <w:tcPr>
            <w:tcW w:type="dxa" w:w="2300"/>
          </w:tcPr>
          <w:p>
            <w:pPr>
              <w:spacing w:after="40" w:before="40"/>
            </w:pPr>
            <w:r>
              <w:rPr>
                <w:b w:val="false"/>
                <w:bCs w:val="false"/>
                <w:i w:val="false"/>
                <w:iCs w:val="false"/>
                <w:sz w:val="20"/>
                <w:szCs w:val="20"/>
              </w:rPr>
              <w:t xml:space="preserve">Validation</w:t>
            </w:r>
          </w:p>
        </w:tc>
        <w:tc>
          <w:tcPr>
            <w:tcW w:type="dxa" w:w="7050"/>
          </w:tcPr>
          <w:p>
            <w:pPr>
              <w:spacing w:after="40" w:before="40"/>
            </w:pPr>
            <w:r>
              <w:rPr>
                <w:b w:val="false"/>
                <w:bCs w:val="false"/>
                <w:i w:val="false"/>
                <w:iCs w:val="false"/>
                <w:sz w:val="20"/>
                <w:szCs w:val="20"/>
              </w:rPr>
              <w:t xml:space="preserve">Re-verify actual uploaded object size ≤ 10 MB and content type matches what was declared at request time; reject mismatches</w:t>
            </w:r>
          </w:p>
        </w:tc>
      </w:tr>
      <w:tr>
        <w:tc>
          <w:tcPr>
            <w:tcW w:type="dxa" w:w="2300"/>
          </w:tcPr>
          <w:p>
            <w:pPr>
              <w:spacing w:after="40" w:before="40"/>
            </w:pPr>
            <w:r>
              <w:rPr>
                <w:b w:val="false"/>
                <w:bCs w:val="false"/>
                <w:i w:val="false"/>
                <w:iCs w:val="false"/>
                <w:sz w:val="20"/>
                <w:szCs w:val="20"/>
              </w:rPr>
              <w:t xml:space="preserve">Success output</w:t>
            </w:r>
          </w:p>
        </w:tc>
        <w:tc>
          <w:tcPr>
            <w:tcW w:type="dxa" w:w="7050"/>
          </w:tcPr>
          <w:p>
            <w:pPr>
              <w:spacing w:after="40" w:before="40"/>
            </w:pPr>
            <w:r>
              <w:rPr>
                <w:b w:val="false"/>
                <w:bCs w:val="false"/>
                <w:i w:val="false"/>
                <w:iCs w:val="false"/>
                <w:sz w:val="20"/>
                <w:szCs w:val="20"/>
              </w:rPr>
              <w:t xml:space="preserve">DynamoDB record updated: status=ACCEPTED, stored key, upload timestamp. Structured log entry with submission_id</w:t>
            </w:r>
          </w:p>
        </w:tc>
      </w:tr>
      <w:tr>
        <w:tc>
          <w:tcPr>
            <w:tcW w:type="dxa" w:w="2300"/>
          </w:tcPr>
          <w:p>
            <w:pPr>
              <w:spacing w:after="40" w:before="40"/>
            </w:pPr>
            <w:r>
              <w:rPr>
                <w:b w:val="false"/>
                <w:bCs w:val="false"/>
                <w:i w:val="false"/>
                <w:iCs w:val="false"/>
                <w:sz w:val="20"/>
                <w:szCs w:val="20"/>
              </w:rPr>
              <w:t xml:space="preserve">Failure output</w:t>
            </w:r>
          </w:p>
        </w:tc>
        <w:tc>
          <w:tcPr>
            <w:tcW w:type="dxa" w:w="7050"/>
          </w:tcPr>
          <w:p>
            <w:pPr>
              <w:spacing w:after="40" w:before="40"/>
            </w:pPr>
            <w:r>
              <w:rPr>
                <w:b w:val="false"/>
                <w:bCs w:val="false"/>
                <w:i w:val="false"/>
                <w:iCs w:val="false"/>
                <w:sz w:val="20"/>
                <w:szCs w:val="20"/>
              </w:rPr>
              <w:t xml:space="preserve">DynamoDB record updated: status=REJECTED, reason. Uploaded object deleted from S3. Structured rejection log with submission_id</w:t>
            </w:r>
          </w:p>
        </w:tc>
      </w:tr>
      <w:tr>
        <w:tc>
          <w:tcPr>
            <w:tcW w:type="dxa" w:w="2300"/>
          </w:tcPr>
          <w:p>
            <w:pPr>
              <w:spacing w:after="40" w:before="40"/>
            </w:pPr>
            <w:r>
              <w:rPr>
                <w:b w:val="false"/>
                <w:bCs w:val="false"/>
                <w:i w:val="false"/>
                <w:iCs w:val="false"/>
                <w:sz w:val="20"/>
                <w:szCs w:val="20"/>
              </w:rPr>
              <w:t xml:space="preserve">Idempotency</w:t>
            </w:r>
          </w:p>
        </w:tc>
        <w:tc>
          <w:tcPr>
            <w:tcW w:type="dxa" w:w="7050"/>
          </w:tcPr>
          <w:p>
            <w:pPr>
              <w:spacing w:after="40" w:before="40"/>
            </w:pPr>
            <w:r>
              <w:rPr>
                <w:b w:val="false"/>
                <w:bCs w:val="false"/>
                <w:i w:val="false"/>
                <w:iCs w:val="false"/>
                <w:sz w:val="20"/>
                <w:szCs w:val="20"/>
              </w:rPr>
              <w:t xml:space="preserve">S3 event delivery is at-least-once; ProcessUpload checks current DynamoDB status before overwriting, so a duplicate event does not double-process</w:t>
            </w:r>
          </w:p>
        </w:tc>
      </w:tr>
      <w:tr>
        <w:tc>
          <w:tcPr>
            <w:tcW w:type="dxa" w:w="2300"/>
          </w:tcPr>
          <w:p>
            <w:pPr>
              <w:spacing w:after="40" w:before="40"/>
            </w:pPr>
            <w:r>
              <w:rPr>
                <w:b w:val="false"/>
                <w:bCs w:val="false"/>
                <w:i w:val="false"/>
                <w:iCs w:val="false"/>
                <w:sz w:val="20"/>
                <w:szCs w:val="20"/>
              </w:rPr>
              <w:t xml:space="preserve">Owner</w:t>
            </w:r>
          </w:p>
        </w:tc>
        <w:tc>
          <w:tcPr>
            <w:tcW w:type="dxa" w:w="7050"/>
          </w:tcPr>
          <w:p>
            <w:pPr>
              <w:spacing w:after="40" w:before="40"/>
            </w:pPr>
            <w:r>
              <w:rPr>
                <w:b w:val="false"/>
                <w:bCs w:val="false"/>
                <w:i w:val="false"/>
                <w:iCs w:val="false"/>
                <w:sz w:val="20"/>
                <w:szCs w:val="20"/>
              </w:rPr>
              <w:t xml:space="preserve">Xolile Wendy Sibiya (Data &amp; Observability Lead)</w:t>
            </w:r>
          </w:p>
        </w:tc>
      </w:tr>
    </w:tbl>
    <w:p>
      <w:pPr>
        <w:pStyle w:val="Heading1"/>
        <w:spacing w:after="150" w:before="300"/>
      </w:pPr>
      <w:r>
        <w:t xml:space="preserve">5. Failure Table and Selected Failure Scenario</w:t>
      </w:r>
    </w:p>
    <w:p>
      <w:pPr>
        <w:spacing w:after="120" w:before="60"/>
      </w:pPr>
      <w:r>
        <w:rPr>
          <w:b w:val="false"/>
          <w:bCs w:val="false"/>
          <w:i w:val="false"/>
          <w:iCs w:val="false"/>
        </w:rPr>
        <w:t xml:space="preserve">Milestone 2 activity 3 requires identifying failure points and selecting one for the final test. The four failure points below cover each stage of the revised event path; the S3-upload-interruption scenario is selected because it exercises the new PENDING intermediate state introduced by ADR-1 and is safe to reproduce repeatedly (network interruption during upload, no destructive account action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200"/>
        <w:gridCol w:w="2250"/>
      </w:tblGrid>
      <w:tr>
        <w:trPr>
          <w:tblHeader/>
        </w:trPr>
        <w:tc>
          <w:tcPr>
            <w:tcW w:type="dxa" w:w="2450"/>
            <w:shd w:fill="DCE6F7" w:val="clear"/>
          </w:tcPr>
          <w:p>
            <w:pPr>
              <w:spacing w:after="40" w:before="40"/>
            </w:pPr>
            <w:r>
              <w:rPr>
                <w:b/>
                <w:bCs/>
                <w:i w:val="false"/>
                <w:iCs w:val="false"/>
                <w:sz w:val="20"/>
                <w:szCs w:val="20"/>
              </w:rPr>
              <w:t xml:space="preserve">Failure</w:t>
            </w:r>
          </w:p>
        </w:tc>
        <w:tc>
          <w:tcPr>
            <w:tcW w:type="dxa" w:w="2450"/>
            <w:shd w:fill="DCE6F7" w:val="clear"/>
          </w:tcPr>
          <w:p>
            <w:pPr>
              <w:spacing w:after="40" w:before="40"/>
            </w:pPr>
            <w:r>
              <w:rPr>
                <w:b/>
                <w:bCs/>
                <w:i w:val="false"/>
                <w:iCs w:val="false"/>
                <w:sz w:val="20"/>
                <w:szCs w:val="20"/>
              </w:rPr>
              <w:t xml:space="preserve">Expected user behaviour</w:t>
            </w:r>
          </w:p>
        </w:tc>
        <w:tc>
          <w:tcPr>
            <w:tcW w:type="dxa" w:w="2200"/>
            <w:shd w:fill="DCE6F7" w:val="clear"/>
          </w:tcPr>
          <w:p>
            <w:pPr>
              <w:spacing w:after="40" w:before="40"/>
            </w:pPr>
            <w:r>
              <w:rPr>
                <w:b/>
                <w:bCs/>
                <w:i w:val="false"/>
                <w:iCs w:val="false"/>
                <w:sz w:val="20"/>
                <w:szCs w:val="20"/>
              </w:rPr>
              <w:t xml:space="preserve">Evidence</w:t>
            </w:r>
          </w:p>
        </w:tc>
        <w:tc>
          <w:tcPr>
            <w:tcW w:type="dxa" w:w="2250"/>
            <w:shd w:fill="DCE6F7" w:val="clear"/>
          </w:tcPr>
          <w:p>
            <w:pPr>
              <w:spacing w:after="40" w:before="40"/>
            </w:pPr>
            <w:r>
              <w:rPr>
                <w:b/>
                <w:bCs/>
                <w:i w:val="false"/>
                <w:iCs w:val="false"/>
                <w:sz w:val="20"/>
                <w:szCs w:val="20"/>
              </w:rPr>
              <w:t xml:space="preserve">Recovery / degradation</w:t>
            </w:r>
          </w:p>
        </w:tc>
      </w:tr>
      <w:tr>
        <w:tc>
          <w:tcPr>
            <w:tcW w:type="dxa" w:w="2450"/>
          </w:tcPr>
          <w:p>
            <w:pPr>
              <w:spacing w:after="40" w:before="40"/>
            </w:pPr>
            <w:r>
              <w:rPr>
                <w:b w:val="false"/>
                <w:bCs w:val="false"/>
                <w:i w:val="false"/>
                <w:iCs w:val="false"/>
                <w:sz w:val="20"/>
                <w:szCs w:val="20"/>
              </w:rPr>
              <w:t xml:space="preserve">Invalid metadata at RequestUpload</w:t>
            </w:r>
          </w:p>
        </w:tc>
        <w:tc>
          <w:tcPr>
            <w:tcW w:type="dxa" w:w="2450"/>
          </w:tcPr>
          <w:p>
            <w:pPr>
              <w:spacing w:after="40" w:before="40"/>
            </w:pPr>
            <w:r>
              <w:rPr>
                <w:b w:val="false"/>
                <w:bCs w:val="false"/>
                <w:i w:val="false"/>
                <w:iCs w:val="false"/>
                <w:sz w:val="20"/>
                <w:szCs w:val="20"/>
              </w:rPr>
              <w:t xml:space="preserve">Client receives 400 VALIDATION_ERROR immediately; no submission_id implies success</w:t>
            </w:r>
          </w:p>
        </w:tc>
        <w:tc>
          <w:tcPr>
            <w:tcW w:type="dxa" w:w="2200"/>
          </w:tcPr>
          <w:p>
            <w:pPr>
              <w:spacing w:after="40" w:before="40"/>
            </w:pPr>
            <w:r>
              <w:rPr>
                <w:b w:val="false"/>
                <w:bCs w:val="false"/>
                <w:i w:val="false"/>
                <w:iCs w:val="false"/>
                <w:sz w:val="20"/>
                <w:szCs w:val="20"/>
              </w:rPr>
              <w:t xml:space="preserve">CloudWatch rejection log; no DynamoDB record created</w:t>
            </w:r>
          </w:p>
        </w:tc>
        <w:tc>
          <w:tcPr>
            <w:tcW w:type="dxa" w:w="2250"/>
          </w:tcPr>
          <w:p>
            <w:pPr>
              <w:spacing w:after="40" w:before="40"/>
            </w:pPr>
            <w:r>
              <w:rPr>
                <w:b w:val="false"/>
                <w:bCs w:val="false"/>
                <w:i w:val="false"/>
                <w:iCs w:val="false"/>
                <w:sz w:val="20"/>
                <w:szCs w:val="20"/>
              </w:rPr>
              <w:t xml:space="preserve">Client corrects input and resubmits; no team action needed</w:t>
            </w:r>
          </w:p>
        </w:tc>
      </w:tr>
      <w:tr>
        <w:tc>
          <w:tcPr>
            <w:tcW w:type="dxa" w:w="2450"/>
          </w:tcPr>
          <w:p>
            <w:pPr>
              <w:spacing w:after="40" w:before="40"/>
            </w:pPr>
            <w:r>
              <w:rPr>
                <w:b w:val="false"/>
                <w:bCs w:val="false"/>
                <w:i w:val="false"/>
                <w:iCs w:val="false"/>
                <w:sz w:val="20"/>
                <w:szCs w:val="20"/>
              </w:rPr>
              <w:t xml:space="preserve">★ SELECTED: Upload interrupted after pre-signed URL issued (client network failure, or team simulates by revoking/expiring the URL early)</w:t>
            </w:r>
          </w:p>
        </w:tc>
        <w:tc>
          <w:tcPr>
            <w:tcW w:type="dxa" w:w="2450"/>
          </w:tcPr>
          <w:p>
            <w:pPr>
              <w:spacing w:after="40" w:before="40"/>
            </w:pPr>
            <w:r>
              <w:rPr>
                <w:b w:val="false"/>
                <w:bCs w:val="false"/>
                <w:i w:val="false"/>
                <w:iCs w:val="false"/>
                <w:sz w:val="20"/>
                <w:szCs w:val="20"/>
              </w:rPr>
              <w:t xml:space="preserve">Record remains status=PENDING; no ACCEPTED confirmation is ever returned to the client for that submission</w:t>
            </w:r>
          </w:p>
        </w:tc>
        <w:tc>
          <w:tcPr>
            <w:tcW w:type="dxa" w:w="2200"/>
          </w:tcPr>
          <w:p>
            <w:pPr>
              <w:spacing w:after="40" w:before="40"/>
            </w:pPr>
            <w:r>
              <w:rPr>
                <w:b w:val="false"/>
                <w:bCs w:val="false"/>
                <w:i w:val="false"/>
                <w:iCs w:val="false"/>
                <w:sz w:val="20"/>
                <w:szCs w:val="20"/>
              </w:rPr>
              <w:t xml:space="preserve">DynamoDB item visible with status=PENDING past expected upload window; no S3:ObjectCreated event in CloudWatch</w:t>
            </w:r>
          </w:p>
        </w:tc>
        <w:tc>
          <w:tcPr>
            <w:tcW w:type="dxa" w:w="2250"/>
          </w:tcPr>
          <w:p>
            <w:pPr>
              <w:spacing w:after="40" w:before="40"/>
            </w:pPr>
            <w:r>
              <w:rPr>
                <w:b w:val="false"/>
                <w:bCs w:val="false"/>
                <w:i w:val="false"/>
                <w:iCs w:val="false"/>
                <w:sz w:val="20"/>
                <w:szCs w:val="20"/>
              </w:rPr>
              <w:t xml:space="preserve">A scheduled check (or manual demo step) flags PENDING records older than the URL expiry as EXPIRED; client is instructed to request a new upload URL</w:t>
            </w:r>
          </w:p>
        </w:tc>
      </w:tr>
      <w:tr>
        <w:tc>
          <w:tcPr>
            <w:tcW w:type="dxa" w:w="2450"/>
          </w:tcPr>
          <w:p>
            <w:pPr>
              <w:spacing w:after="40" w:before="40"/>
            </w:pPr>
            <w:r>
              <w:rPr>
                <w:b w:val="false"/>
                <w:bCs w:val="false"/>
                <w:i w:val="false"/>
                <w:iCs w:val="false"/>
                <w:sz w:val="20"/>
                <w:szCs w:val="20"/>
              </w:rPr>
              <w:t xml:space="preserve">ProcessUpload rejects on re-verification (declared type/size does not match actual object)</w:t>
            </w:r>
          </w:p>
        </w:tc>
        <w:tc>
          <w:tcPr>
            <w:tcW w:type="dxa" w:w="2450"/>
          </w:tcPr>
          <w:p>
            <w:pPr>
              <w:spacing w:after="40" w:before="40"/>
            </w:pPr>
            <w:r>
              <w:rPr>
                <w:b w:val="false"/>
                <w:bCs w:val="false"/>
                <w:i w:val="false"/>
                <w:iCs w:val="false"/>
                <w:sz w:val="20"/>
                <w:szCs w:val="20"/>
              </w:rPr>
              <w:t xml:space="preserve">Submission is never usable even though the client believed the upload succeeded</w:t>
            </w:r>
          </w:p>
        </w:tc>
        <w:tc>
          <w:tcPr>
            <w:tcW w:type="dxa" w:w="2200"/>
          </w:tcPr>
          <w:p>
            <w:pPr>
              <w:spacing w:after="40" w:before="40"/>
            </w:pPr>
            <w:r>
              <w:rPr>
                <w:b w:val="false"/>
                <w:bCs w:val="false"/>
                <w:i w:val="false"/>
                <w:iCs w:val="false"/>
                <w:sz w:val="20"/>
                <w:szCs w:val="20"/>
              </w:rPr>
              <w:t xml:space="preserve">DynamoDB status=REJECTED with reason; structured rejection log; object deleted from S3</w:t>
            </w:r>
          </w:p>
        </w:tc>
        <w:tc>
          <w:tcPr>
            <w:tcW w:type="dxa" w:w="2250"/>
          </w:tcPr>
          <w:p>
            <w:pPr>
              <w:spacing w:after="40" w:before="40"/>
            </w:pPr>
            <w:r>
              <w:rPr>
                <w:b w:val="false"/>
                <w:bCs w:val="false"/>
                <w:i w:val="false"/>
                <w:iCs w:val="false"/>
                <w:sz w:val="20"/>
                <w:szCs w:val="20"/>
              </w:rPr>
              <w:t xml:space="preserve">Client is not automatically notified in Milestone 2 scope (notification is out of scope per M1 §3.4); status is queryable</w:t>
            </w:r>
          </w:p>
        </w:tc>
      </w:tr>
      <w:tr>
        <w:tc>
          <w:tcPr>
            <w:tcW w:type="dxa" w:w="2450"/>
          </w:tcPr>
          <w:p>
            <w:pPr>
              <w:spacing w:after="40" w:before="40"/>
            </w:pPr>
            <w:r>
              <w:rPr>
                <w:b w:val="false"/>
                <w:bCs w:val="false"/>
                <w:i w:val="false"/>
                <w:iCs w:val="false"/>
                <w:sz w:val="20"/>
                <w:szCs w:val="20"/>
              </w:rPr>
              <w:t xml:space="preserve">DynamoDB write throttled/unavailable</w:t>
            </w:r>
          </w:p>
        </w:tc>
        <w:tc>
          <w:tcPr>
            <w:tcW w:type="dxa" w:w="2450"/>
          </w:tcPr>
          <w:p>
            <w:pPr>
              <w:spacing w:after="40" w:before="40"/>
            </w:pPr>
            <w:r>
              <w:rPr>
                <w:b w:val="false"/>
                <w:bCs w:val="false"/>
                <w:i w:val="false"/>
                <w:iCs w:val="false"/>
                <w:sz w:val="20"/>
                <w:szCs w:val="20"/>
              </w:rPr>
              <w:t xml:space="preserve">RequestUpload returns 5xx rather than a false success</w:t>
            </w:r>
          </w:p>
        </w:tc>
        <w:tc>
          <w:tcPr>
            <w:tcW w:type="dxa" w:w="2200"/>
          </w:tcPr>
          <w:p>
            <w:pPr>
              <w:spacing w:after="40" w:before="40"/>
            </w:pPr>
            <w:r>
              <w:rPr>
                <w:b w:val="false"/>
                <w:bCs w:val="false"/>
                <w:i w:val="false"/>
                <w:iCs w:val="false"/>
                <w:sz w:val="20"/>
                <w:szCs w:val="20"/>
              </w:rPr>
              <w:t xml:space="preserve">Lambda error log in CloudWatch with retry attempts</w:t>
            </w:r>
          </w:p>
        </w:tc>
        <w:tc>
          <w:tcPr>
            <w:tcW w:type="dxa" w:w="2250"/>
          </w:tcPr>
          <w:p>
            <w:pPr>
              <w:spacing w:after="40" w:before="40"/>
            </w:pPr>
            <w:r>
              <w:rPr>
                <w:b w:val="false"/>
                <w:bCs w:val="false"/>
                <w:i w:val="false"/>
                <w:iCs w:val="false"/>
                <w:sz w:val="20"/>
                <w:szCs w:val="20"/>
              </w:rPr>
              <w:t xml:space="preserve">Lambda SDK automatic retry with backoff; persistent failure surfaces as a safe 5xx, never a fabricated submission_id</w:t>
            </w:r>
          </w:p>
        </w:tc>
      </w:tr>
    </w:tbl>
    <w:p>
      <w:pPr>
        <w:pStyle w:val="Heading1"/>
        <w:spacing w:after="150" w:before="300"/>
      </w:pPr>
      <w:r>
        <w:t xml:space="preserve">6. Threat and Credential Checklist</w:t>
      </w:r>
    </w:p>
    <w:p>
      <w:pPr>
        <w:spacing w:after="60"/>
      </w:pPr>
      <w:r>
        <w:t xml:space="preserve">☐ Identities listed: two Lambda execution roles (RequestUpload, ProcessUpload) and the human deploy/operator identity used by the team via the AWS CLI/console.</w:t>
      </w:r>
    </w:p>
    <w:p>
      <w:pPr>
        <w:spacing w:after="60"/>
      </w:pPr>
      <w:r>
        <w:t xml:space="preserve">☐ Least privilege applied: each Lambda role is scoped to the single table/bucket it needs (see Section 2.1 permission column); no wildcard resource ARNs. No temporary broad permission is required for this design.</w:t>
      </w:r>
    </w:p>
    <w:p>
      <w:pPr>
        <w:spacing w:after="60"/>
      </w:pPr>
      <w:r>
        <w:t xml:space="preserve">☐ Secrets kept outside source control: only .env.example with placeholder region/table/bucket names is committed; no AWS access keys are hard-coded (execution roles are attached to the Lambda functions, not embedded credentials).</w:t>
      </w:r>
    </w:p>
    <w:p>
      <w:pPr>
        <w:spacing w:after="60"/>
      </w:pPr>
      <w:r>
        <w:t xml:space="preserve">☐ Input validation: RequestUpload validates all five metadata fields before any state is created; ProcessUpload re-validates the actual object against the declared metadata rather than trusting the client.</w:t>
      </w:r>
    </w:p>
    <w:p>
      <w:pPr>
        <w:spacing w:after="60"/>
      </w:pPr>
      <w:r>
        <w:t xml:space="preserve">☐ No secrets or unnecessary personal fields logged: CloudWatch entries contain submission_id, status and validation outcome only — never file contents or raw student identifiers beyond the synthetic student_ref.</w:t>
      </w:r>
    </w:p>
    <w:p>
      <w:pPr>
        <w:spacing w:after="60"/>
      </w:pPr>
      <w:r>
        <w:t xml:space="preserve">☐ Read/write/delete of stored data defined: only the two Lambda roles may read/write S3 objects and DynamoDB items; ProcessUpload alone may delete a rejected object; no team member accesses data via shared admin credentials.</w:t>
      </w:r>
    </w:p>
    <w:p>
      <w:pPr>
        <w:spacing w:after="60"/>
      </w:pPr>
      <w:r>
        <w:t xml:space="preserve">☐ Credential rotation/revocation plan: pre-signed URLs expire automatically (short TTL, e.g. 5 minutes); IAM roles use no long-lived access keys to rotate; if the AWS root/IAM console access is ever exposed, credentials are rotated and the exposed session revoked immediately.</w:t>
      </w:r>
    </w:p>
    <w:p>
      <w:pPr>
        <w:spacing w:after="60"/>
      </w:pPr>
      <w:r>
        <w:t xml:space="preserve">☐ Synthetic data and retention rule: only STU-DEMO-* identifiers and safe demonstration files are used; uploaded evidence files are deleted from S3 and DynamoDB items removed once Milestone 2 evidence has been captured.</w:t>
      </w:r>
    </w:p>
    <w:p>
      <w:pPr>
        <w:pStyle w:val="Heading1"/>
        <w:spacing w:after="150" w:before="300"/>
      </w:pPr>
      <w:r>
        <w:t xml:space="preserve">7. Cost Worksheet</w:t>
      </w:r>
    </w:p>
    <w:p>
      <w:pPr>
        <w:spacing w:after="120" w:before="60"/>
      </w:pPr>
      <w:r>
        <w:rPr>
          <w:b w:val="false"/>
          <w:bCs w:val="false"/>
          <w:i w:val="false"/>
          <w:iCs w:val="false"/>
        </w:rPr>
        <w:t xml:space="preserve">Figures below are indicative, based on AWS's published free-tier and on-demand rates at the time of writing, for a short practical-demonstration workload (not production traffic). Rates should be re-checked and dated before final submission.</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1850"/>
        <w:gridCol w:w="2300"/>
        <w:gridCol w:w="1600"/>
      </w:tblGrid>
      <w:tr>
        <w:trPr>
          <w:tblHeader/>
        </w:trPr>
        <w:tc>
          <w:tcPr>
            <w:tcW w:type="dxa" w:w="2350"/>
            <w:shd w:fill="DCE6F7" w:val="clear"/>
          </w:tcPr>
          <w:p>
            <w:pPr>
              <w:spacing w:after="40" w:before="40"/>
            </w:pPr>
            <w:r>
              <w:rPr>
                <w:b/>
                <w:bCs/>
                <w:i w:val="false"/>
                <w:iCs w:val="false"/>
                <w:sz w:val="20"/>
                <w:szCs w:val="20"/>
              </w:rPr>
              <w:t xml:space="preserve">Resource/service</w:t>
            </w:r>
          </w:p>
        </w:tc>
        <w:tc>
          <w:tcPr>
            <w:tcW w:type="dxa" w:w="2350"/>
            <w:shd w:fill="DCE6F7" w:val="clear"/>
          </w:tcPr>
          <w:p>
            <w:pPr>
              <w:spacing w:after="40" w:before="40"/>
            </w:pPr>
            <w:r>
              <w:rPr>
                <w:b/>
                <w:bCs/>
                <w:i w:val="false"/>
                <w:iCs w:val="false"/>
                <w:sz w:val="20"/>
                <w:szCs w:val="20"/>
              </w:rPr>
              <w:t xml:space="preserve">Quantity assumption</w:t>
            </w:r>
          </w:p>
        </w:tc>
        <w:tc>
          <w:tcPr>
            <w:tcW w:type="dxa" w:w="1850"/>
            <w:shd w:fill="DCE6F7" w:val="clear"/>
          </w:tcPr>
          <w:p>
            <w:pPr>
              <w:spacing w:after="40" w:before="40"/>
            </w:pPr>
            <w:r>
              <w:rPr>
                <w:b/>
                <w:bCs/>
                <w:i w:val="false"/>
                <w:iCs w:val="false"/>
                <w:sz w:val="20"/>
                <w:szCs w:val="20"/>
              </w:rPr>
              <w:t xml:space="preserve">Duration/requests/data</w:t>
            </w:r>
          </w:p>
        </w:tc>
        <w:tc>
          <w:tcPr>
            <w:tcW w:type="dxa" w:w="2300"/>
            <w:shd w:fill="DCE6F7" w:val="clear"/>
          </w:tcPr>
          <w:p>
            <w:pPr>
              <w:spacing w:after="40" w:before="40"/>
            </w:pPr>
            <w:r>
              <w:rPr>
                <w:b/>
                <w:bCs/>
                <w:i w:val="false"/>
                <w:iCs w:val="false"/>
                <w:sz w:val="20"/>
                <w:szCs w:val="20"/>
              </w:rPr>
              <w:t xml:space="preserve">Rate source or equivalent unit</w:t>
            </w:r>
          </w:p>
        </w:tc>
        <w:tc>
          <w:tcPr>
            <w:tcW w:type="dxa" w:w="1600"/>
            <w:shd w:fill="DCE6F7" w:val="clear"/>
          </w:tcPr>
          <w:p>
            <w:pPr>
              <w:spacing w:after="40" w:before="40"/>
            </w:pPr>
            <w:r>
              <w:rPr>
                <w:b/>
                <w:bCs/>
                <w:i w:val="false"/>
                <w:iCs w:val="false"/>
                <w:sz w:val="20"/>
                <w:szCs w:val="20"/>
              </w:rPr>
              <w:t xml:space="preserve">Estimated amount</w:t>
            </w:r>
          </w:p>
        </w:tc>
      </w:tr>
      <w:tr>
        <w:tc>
          <w:tcPr>
            <w:tcW w:type="dxa" w:w="2350"/>
          </w:tcPr>
          <w:p>
            <w:pPr>
              <w:spacing w:after="40" w:before="40"/>
            </w:pPr>
            <w:r>
              <w:rPr>
                <w:b w:val="false"/>
                <w:bCs w:val="false"/>
                <w:i w:val="false"/>
                <w:iCs w:val="false"/>
                <w:sz w:val="20"/>
                <w:szCs w:val="20"/>
              </w:rPr>
              <w:t xml:space="preserve">Lambda (RequestUpload + ProcessUpload)</w:t>
            </w:r>
          </w:p>
        </w:tc>
        <w:tc>
          <w:tcPr>
            <w:tcW w:type="dxa" w:w="2350"/>
          </w:tcPr>
          <w:p>
            <w:pPr>
              <w:spacing w:after="40" w:before="40"/>
            </w:pPr>
            <w:r>
              <w:rPr>
                <w:b w:val="false"/>
                <w:bCs w:val="false"/>
                <w:i w:val="false"/>
                <w:iCs w:val="false"/>
                <w:sz w:val="20"/>
                <w:szCs w:val="20"/>
              </w:rPr>
              <w:t xml:space="preserve">~200 invocations for dev/testing/demo</w:t>
            </w:r>
          </w:p>
        </w:tc>
        <w:tc>
          <w:tcPr>
            <w:tcW w:type="dxa" w:w="1850"/>
          </w:tcPr>
          <w:p>
            <w:pPr>
              <w:spacing w:after="40" w:before="40"/>
            </w:pPr>
            <w:r>
              <w:rPr>
                <w:b w:val="false"/>
                <w:bCs w:val="false"/>
                <w:i w:val="false"/>
                <w:iCs w:val="false"/>
                <w:sz w:val="20"/>
                <w:szCs w:val="20"/>
              </w:rPr>
              <w:t xml:space="preserve">avg 300 ms, 128 MB each</w:t>
            </w:r>
          </w:p>
        </w:tc>
        <w:tc>
          <w:tcPr>
            <w:tcW w:type="dxa" w:w="2300"/>
          </w:tcPr>
          <w:p>
            <w:pPr>
              <w:spacing w:after="40" w:before="40"/>
            </w:pPr>
            <w:r>
              <w:rPr>
                <w:b w:val="false"/>
                <w:bCs w:val="false"/>
                <w:i w:val="false"/>
                <w:iCs w:val="false"/>
                <w:sz w:val="20"/>
                <w:szCs w:val="20"/>
              </w:rPr>
              <w:t xml:space="preserve">AWS Lambda pricing page (free tier: 1M requests + 400,000 GB-s/month)</w:t>
            </w:r>
          </w:p>
        </w:tc>
        <w:tc>
          <w:tcPr>
            <w:tcW w:type="dxa" w:w="1600"/>
          </w:tcPr>
          <w:p>
            <w:pPr>
              <w:spacing w:after="40" w:before="40"/>
            </w:pPr>
            <w:r>
              <w:rPr>
                <w:b w:val="false"/>
                <w:bCs w:val="false"/>
                <w:i w:val="false"/>
                <w:iCs w:val="false"/>
                <w:sz w:val="20"/>
                <w:szCs w:val="20"/>
              </w:rPr>
              <w:t xml:space="preserve">$0.00 (within free tier)</w:t>
            </w:r>
          </w:p>
        </w:tc>
      </w:tr>
      <w:tr>
        <w:tc>
          <w:tcPr>
            <w:tcW w:type="dxa" w:w="2350"/>
          </w:tcPr>
          <w:p>
            <w:pPr>
              <w:spacing w:after="40" w:before="40"/>
            </w:pPr>
            <w:r>
              <w:rPr>
                <w:b w:val="false"/>
                <w:bCs w:val="false"/>
                <w:i w:val="false"/>
                <w:iCs w:val="false"/>
                <w:sz w:val="20"/>
                <w:szCs w:val="20"/>
              </w:rPr>
              <w:t xml:space="preserve">API Gateway (REST)</w:t>
            </w:r>
          </w:p>
        </w:tc>
        <w:tc>
          <w:tcPr>
            <w:tcW w:type="dxa" w:w="2350"/>
          </w:tcPr>
          <w:p>
            <w:pPr>
              <w:spacing w:after="40" w:before="40"/>
            </w:pPr>
            <w:r>
              <w:rPr>
                <w:b w:val="false"/>
                <w:bCs w:val="false"/>
                <w:i w:val="false"/>
                <w:iCs w:val="false"/>
                <w:sz w:val="20"/>
                <w:szCs w:val="20"/>
              </w:rPr>
              <w:t xml:space="preserve">~200 requests</w:t>
            </w:r>
          </w:p>
        </w:tc>
        <w:tc>
          <w:tcPr>
            <w:tcW w:type="dxa" w:w="1850"/>
          </w:tcPr>
          <w:p>
            <w:pPr>
              <w:spacing w:after="40" w:before="40"/>
            </w:pPr>
            <w:r>
              <w:rPr>
                <w:b w:val="false"/>
                <w:bCs w:val="false"/>
                <w:i w:val="false"/>
                <w:iCs w:val="false"/>
                <w:sz w:val="20"/>
                <w:szCs w:val="20"/>
              </w:rPr>
              <w:t xml:space="preserve">1 stage, dev testing</w:t>
            </w:r>
          </w:p>
        </w:tc>
        <w:tc>
          <w:tcPr>
            <w:tcW w:type="dxa" w:w="2300"/>
          </w:tcPr>
          <w:p>
            <w:pPr>
              <w:spacing w:after="40" w:before="40"/>
            </w:pPr>
            <w:r>
              <w:rPr>
                <w:b w:val="false"/>
                <w:bCs w:val="false"/>
                <w:i w:val="false"/>
                <w:iCs w:val="false"/>
                <w:sz w:val="20"/>
                <w:szCs w:val="20"/>
              </w:rPr>
              <w:t xml:space="preserve">AWS API Gateway pricing (free tier: 1M REST API calls/month for 12 months)</w:t>
            </w:r>
          </w:p>
        </w:tc>
        <w:tc>
          <w:tcPr>
            <w:tcW w:type="dxa" w:w="1600"/>
          </w:tcPr>
          <w:p>
            <w:pPr>
              <w:spacing w:after="40" w:before="40"/>
            </w:pPr>
            <w:r>
              <w:rPr>
                <w:b w:val="false"/>
                <w:bCs w:val="false"/>
                <w:i w:val="false"/>
                <w:iCs w:val="false"/>
                <w:sz w:val="20"/>
                <w:szCs w:val="20"/>
              </w:rPr>
              <w:t xml:space="preserve">$0.00 (within free tier)</w:t>
            </w:r>
          </w:p>
        </w:tc>
      </w:tr>
      <w:tr>
        <w:tc>
          <w:tcPr>
            <w:tcW w:type="dxa" w:w="2350"/>
          </w:tcPr>
          <w:p>
            <w:pPr>
              <w:spacing w:after="40" w:before="40"/>
            </w:pPr>
            <w:r>
              <w:rPr>
                <w:b w:val="false"/>
                <w:bCs w:val="false"/>
                <w:i w:val="false"/>
                <w:iCs w:val="false"/>
                <w:sz w:val="20"/>
                <w:szCs w:val="20"/>
              </w:rPr>
              <w:t xml:space="preserve">S3 storage + requests</w:t>
            </w:r>
          </w:p>
        </w:tc>
        <w:tc>
          <w:tcPr>
            <w:tcW w:type="dxa" w:w="2350"/>
          </w:tcPr>
          <w:p>
            <w:pPr>
              <w:spacing w:after="40" w:before="40"/>
            </w:pPr>
            <w:r>
              <w:rPr>
                <w:b w:val="false"/>
                <w:bCs w:val="false"/>
                <w:i w:val="false"/>
                <w:iCs w:val="false"/>
                <w:sz w:val="20"/>
                <w:szCs w:val="20"/>
              </w:rPr>
              <w:t xml:space="preserve">≤ 50 demo files, ≤ 10 MB each (~500 MB total)</w:t>
            </w:r>
          </w:p>
        </w:tc>
        <w:tc>
          <w:tcPr>
            <w:tcW w:type="dxa" w:w="1850"/>
          </w:tcPr>
          <w:p>
            <w:pPr>
              <w:spacing w:after="40" w:before="40"/>
            </w:pPr>
            <w:r>
              <w:rPr>
                <w:b w:val="false"/>
                <w:bCs w:val="false"/>
                <w:i w:val="false"/>
                <w:iCs w:val="false"/>
                <w:sz w:val="20"/>
                <w:szCs w:val="20"/>
              </w:rPr>
              <w:t xml:space="preserve">PUT/GET during dev + demo</w:t>
            </w:r>
          </w:p>
        </w:tc>
        <w:tc>
          <w:tcPr>
            <w:tcW w:type="dxa" w:w="2300"/>
          </w:tcPr>
          <w:p>
            <w:pPr>
              <w:spacing w:after="40" w:before="40"/>
            </w:pPr>
            <w:r>
              <w:rPr>
                <w:b w:val="false"/>
                <w:bCs w:val="false"/>
                <w:i w:val="false"/>
                <w:iCs w:val="false"/>
                <w:sz w:val="20"/>
                <w:szCs w:val="20"/>
              </w:rPr>
              <w:t xml:space="preserve">AWS S3 pricing (free tier: 5 GB storage, 2,000 PUT, 20,000 GET/month for 12 months)</w:t>
            </w:r>
          </w:p>
        </w:tc>
        <w:tc>
          <w:tcPr>
            <w:tcW w:type="dxa" w:w="1600"/>
          </w:tcPr>
          <w:p>
            <w:pPr>
              <w:spacing w:after="40" w:before="40"/>
            </w:pPr>
            <w:r>
              <w:rPr>
                <w:b w:val="false"/>
                <w:bCs w:val="false"/>
                <w:i w:val="false"/>
                <w:iCs w:val="false"/>
                <w:sz w:val="20"/>
                <w:szCs w:val="20"/>
              </w:rPr>
              <w:t xml:space="preserve">$0.00 (within free tier)</w:t>
            </w:r>
          </w:p>
        </w:tc>
      </w:tr>
      <w:tr>
        <w:tc>
          <w:tcPr>
            <w:tcW w:type="dxa" w:w="2350"/>
          </w:tcPr>
          <w:p>
            <w:pPr>
              <w:spacing w:after="40" w:before="40"/>
            </w:pPr>
            <w:r>
              <w:rPr>
                <w:b w:val="false"/>
                <w:bCs w:val="false"/>
                <w:i w:val="false"/>
                <w:iCs w:val="false"/>
                <w:sz w:val="20"/>
                <w:szCs w:val="20"/>
              </w:rPr>
              <w:t xml:space="preserve">DynamoDB (on-demand)</w:t>
            </w:r>
          </w:p>
        </w:tc>
        <w:tc>
          <w:tcPr>
            <w:tcW w:type="dxa" w:w="2350"/>
          </w:tcPr>
          <w:p>
            <w:pPr>
              <w:spacing w:after="40" w:before="40"/>
            </w:pPr>
            <w:r>
              <w:rPr>
                <w:b w:val="false"/>
                <w:bCs w:val="false"/>
                <w:i w:val="false"/>
                <w:iCs w:val="false"/>
                <w:sz w:val="20"/>
                <w:szCs w:val="20"/>
              </w:rPr>
              <w:t xml:space="preserve">~200 writes/updates, ~200 reads</w:t>
            </w:r>
          </w:p>
        </w:tc>
        <w:tc>
          <w:tcPr>
            <w:tcW w:type="dxa" w:w="1850"/>
          </w:tcPr>
          <w:p>
            <w:pPr>
              <w:spacing w:after="40" w:before="40"/>
            </w:pPr>
            <w:r>
              <w:rPr>
                <w:b w:val="false"/>
                <w:bCs w:val="false"/>
                <w:i w:val="false"/>
                <w:iCs w:val="false"/>
                <w:sz w:val="20"/>
                <w:szCs w:val="20"/>
              </w:rPr>
              <w:t xml:space="preserve">dev/testing/demo</w:t>
            </w:r>
          </w:p>
        </w:tc>
        <w:tc>
          <w:tcPr>
            <w:tcW w:type="dxa" w:w="2300"/>
          </w:tcPr>
          <w:p>
            <w:pPr>
              <w:spacing w:after="40" w:before="40"/>
            </w:pPr>
            <w:r>
              <w:rPr>
                <w:b w:val="false"/>
                <w:bCs w:val="false"/>
                <w:i w:val="false"/>
                <w:iCs w:val="false"/>
                <w:sz w:val="20"/>
                <w:szCs w:val="20"/>
              </w:rPr>
              <w:t xml:space="preserve">AWS DynamoDB pricing (free tier: 25 GB storage always free; on-demand covered at this volume)</w:t>
            </w:r>
          </w:p>
        </w:tc>
        <w:tc>
          <w:tcPr>
            <w:tcW w:type="dxa" w:w="1600"/>
          </w:tcPr>
          <w:p>
            <w:pPr>
              <w:spacing w:after="40" w:before="40"/>
            </w:pPr>
            <w:r>
              <w:rPr>
                <w:b w:val="false"/>
                <w:bCs w:val="false"/>
                <w:i w:val="false"/>
                <w:iCs w:val="false"/>
                <w:sz w:val="20"/>
                <w:szCs w:val="20"/>
              </w:rPr>
              <w:t xml:space="preserve">$0.00 (within free tier)</w:t>
            </w:r>
          </w:p>
        </w:tc>
      </w:tr>
      <w:tr>
        <w:tc>
          <w:tcPr>
            <w:tcW w:type="dxa" w:w="2350"/>
          </w:tcPr>
          <w:p>
            <w:pPr>
              <w:spacing w:after="40" w:before="40"/>
            </w:pPr>
            <w:r>
              <w:rPr>
                <w:b w:val="false"/>
                <w:bCs w:val="false"/>
                <w:i w:val="false"/>
                <w:iCs w:val="false"/>
                <w:sz w:val="20"/>
                <w:szCs w:val="20"/>
              </w:rPr>
              <w:t xml:space="preserve">CloudWatch Logs</w:t>
            </w:r>
          </w:p>
        </w:tc>
        <w:tc>
          <w:tcPr>
            <w:tcW w:type="dxa" w:w="2350"/>
          </w:tcPr>
          <w:p>
            <w:pPr>
              <w:spacing w:after="40" w:before="40"/>
            </w:pPr>
            <w:r>
              <w:rPr>
                <w:b w:val="false"/>
                <w:bCs w:val="false"/>
                <w:i w:val="false"/>
                <w:iCs w:val="false"/>
                <w:sz w:val="20"/>
                <w:szCs w:val="20"/>
              </w:rPr>
              <w:t xml:space="preserve">~200 invocations' worth of structured logs, short retention (7 days)</w:t>
            </w:r>
          </w:p>
        </w:tc>
        <w:tc>
          <w:tcPr>
            <w:tcW w:type="dxa" w:w="1850"/>
          </w:tcPr>
          <w:p>
            <w:pPr>
              <w:spacing w:after="40" w:before="40"/>
            </w:pPr>
            <w:r>
              <w:rPr>
                <w:b w:val="false"/>
                <w:bCs w:val="false"/>
                <w:i w:val="false"/>
                <w:iCs w:val="false"/>
                <w:sz w:val="20"/>
                <w:szCs w:val="20"/>
              </w:rPr>
              <w:t xml:space="preserve">dev/testing/demo</w:t>
            </w:r>
          </w:p>
        </w:tc>
        <w:tc>
          <w:tcPr>
            <w:tcW w:type="dxa" w:w="2300"/>
          </w:tcPr>
          <w:p>
            <w:pPr>
              <w:spacing w:after="40" w:before="40"/>
            </w:pPr>
            <w:r>
              <w:rPr>
                <w:b w:val="false"/>
                <w:bCs w:val="false"/>
                <w:i w:val="false"/>
                <w:iCs w:val="false"/>
                <w:sz w:val="20"/>
                <w:szCs w:val="20"/>
              </w:rPr>
              <w:t xml:space="preserve">AWS CloudWatch pricing (free tier: 5 GB log ingestion/month)</w:t>
            </w:r>
          </w:p>
        </w:tc>
        <w:tc>
          <w:tcPr>
            <w:tcW w:type="dxa" w:w="1600"/>
          </w:tcPr>
          <w:p>
            <w:pPr>
              <w:spacing w:after="40" w:before="40"/>
            </w:pPr>
            <w:r>
              <w:rPr>
                <w:b w:val="false"/>
                <w:bCs w:val="false"/>
                <w:i w:val="false"/>
                <w:iCs w:val="false"/>
                <w:sz w:val="20"/>
                <w:szCs w:val="20"/>
              </w:rPr>
              <w:t xml:space="preserve">$0.00 (within free tier)</w:t>
            </w:r>
          </w:p>
        </w:tc>
      </w:tr>
      <w:tr>
        <w:tc>
          <w:tcPr>
            <w:tcW w:type="dxa" w:w="2350"/>
          </w:tcPr>
          <w:p>
            <w:pPr>
              <w:spacing w:after="40" w:before="40"/>
            </w:pPr>
            <w:r>
              <w:rPr>
                <w:b w:val="false"/>
                <w:bCs w:val="false"/>
                <w:i w:val="false"/>
                <w:iCs w:val="false"/>
                <w:sz w:val="20"/>
                <w:szCs w:val="20"/>
              </w:rPr>
              <w:t xml:space="preserve">TOTAL</w:t>
            </w:r>
          </w:p>
        </w:tc>
        <w:tc>
          <w:tcPr>
            <w:tcW w:type="dxa" w:w="2350"/>
          </w:tcPr>
          <w:p>
            <w:pPr>
              <w:spacing w:after="40" w:before="40"/>
            </w:pPr>
            <w:r>
              <w:rPr>
                <w:b w:val="false"/>
                <w:bCs w:val="false"/>
                <w:i w:val="false"/>
                <w:iCs w:val="false"/>
                <w:sz w:val="20"/>
                <w:szCs w:val="20"/>
              </w:rPr>
              <w:t xml:space="preserve"/>
            </w:r>
          </w:p>
        </w:tc>
        <w:tc>
          <w:tcPr>
            <w:tcW w:type="dxa" w:w="1850"/>
          </w:tcPr>
          <w:p>
            <w:pPr>
              <w:spacing w:after="40" w:before="40"/>
            </w:pPr>
            <w:r>
              <w:rPr>
                <w:b w:val="false"/>
                <w:bCs w:val="false"/>
                <w:i w:val="false"/>
                <w:iCs w:val="false"/>
                <w:sz w:val="20"/>
                <w:szCs w:val="20"/>
              </w:rPr>
              <w:t xml:space="preserve"/>
            </w:r>
          </w:p>
        </w:tc>
        <w:tc>
          <w:tcPr>
            <w:tcW w:type="dxa" w:w="2300"/>
          </w:tcPr>
          <w:p>
            <w:pPr>
              <w:spacing w:after="40" w:before="40"/>
            </w:pPr>
            <w:r>
              <w:rPr>
                <w:b w:val="false"/>
                <w:bCs w:val="false"/>
                <w:i w:val="false"/>
                <w:iCs w:val="false"/>
                <w:sz w:val="20"/>
                <w:szCs w:val="20"/>
              </w:rPr>
              <w:t xml:space="preserve"/>
            </w:r>
          </w:p>
        </w:tc>
        <w:tc>
          <w:tcPr>
            <w:tcW w:type="dxa" w:w="1600"/>
          </w:tcPr>
          <w:p>
            <w:pPr>
              <w:spacing w:after="40" w:before="40"/>
            </w:pPr>
            <w:r>
              <w:rPr>
                <w:b w:val="false"/>
                <w:bCs w:val="false"/>
                <w:i w:val="false"/>
                <w:iCs w:val="false"/>
                <w:sz w:val="20"/>
                <w:szCs w:val="20"/>
              </w:rPr>
              <w:t xml:space="preserve">$0.00 (expected to stay within AWS free tier for this workload)</w:t>
            </w:r>
          </w:p>
        </w:tc>
      </w:tr>
    </w:tbl>
    <w:p>
      <w:pPr>
        <w:spacing w:after="120" w:before="60"/>
      </w:pPr>
      <w:r>
        <w:rPr>
          <w:b w:val="false"/>
          <w:bCs w:val="false"/>
          <w:i w:val="false"/>
          <w:iCs w:val="false"/>
        </w:rPr>
        <w:t xml:space="preserve">Budget/alert plan: an AWS Budgets alert is set at a low threshold (e.g. R50 / $3) on the team's sandbox account so any unexpected charge is flagged immediately; all resources are named with a group3- prefix so cost/usage can be filtered and confirmed as $0 before teardown. If the fallback (SAM local) is used instead, there is no cloud billing exposure and this worksheet's rows map to local resource limits instead (disk space for local S3/DynamoDB emulation, no request charges).</w:t>
      </w:r>
    </w:p>
    <w:p>
      <w:pPr>
        <w:pStyle w:val="Heading1"/>
        <w:spacing w:after="150" w:before="300"/>
      </w:pPr>
      <w:r>
        <w:t xml:space="preserve">8. Deployment, Rollback and Teardown Procedures</w:t>
      </w:r>
    </w:p>
    <w:p>
      <w:pPr>
        <w:pStyle w:val="Heading2"/>
        <w:spacing w:after="120" w:before="240"/>
      </w:pPr>
      <w:r>
        <w:t xml:space="preserve">8.1 Deployment</w:t>
      </w:r>
    </w:p>
    <w:p>
      <w:pPr>
        <w:pStyle w:val="ListParagraph"/>
        <w:numPr>
          <w:ilvl w:val="0"/>
          <w:numId w:val="1"/>
        </w:numPr>
        <w:spacing w:after="60"/>
      </w:pPr>
      <w:r>
        <w:t xml:space="preserve">Deploy via an Infrastructure-as-Code template (AWS SAM or equivalent) committed to infra/, so the stack is reproducible from one command.</w:t>
      </w:r>
    </w:p>
    <w:p>
      <w:pPr>
        <w:pStyle w:val="ListParagraph"/>
        <w:numPr>
          <w:ilvl w:val="0"/>
          <w:numId w:val="1"/>
        </w:numPr>
        <w:spacing w:after="60"/>
      </w:pPr>
      <w:r>
        <w:t xml:space="preserve">Deploy to the lecturer-approved sandbox account/region only; region is documented in the repository README.</w:t>
      </w:r>
    </w:p>
    <w:p>
      <w:pPr>
        <w:pStyle w:val="ListParagraph"/>
        <w:numPr>
          <w:ilvl w:val="0"/>
          <w:numId w:val="1"/>
        </w:numPr>
        <w:spacing w:after="60"/>
      </w:pPr>
      <w:r>
        <w:t xml:space="preserve">Confirm both Lambda roles, the S3 bucket policy and the DynamoDB table are created with the least-privilege permissions in Section 2.1 before running any test upload.</w:t>
      </w:r>
    </w:p>
    <w:p>
      <w:pPr>
        <w:pStyle w:val="Heading2"/>
        <w:spacing w:after="120" w:before="240"/>
      </w:pPr>
      <w:r>
        <w:t xml:space="preserve">8.2 Rollback</w:t>
      </w:r>
    </w:p>
    <w:p>
      <w:pPr>
        <w:pStyle w:val="ListParagraph"/>
        <w:numPr>
          <w:ilvl w:val="0"/>
          <w:numId w:val="1"/>
        </w:numPr>
        <w:spacing w:after="60"/>
      </w:pPr>
      <w:r>
        <w:t xml:space="preserve">Infrastructure-as-Code stack update failures roll back automatically to the last known-good stack state (standard CloudFormation/SAM behaviour).</w:t>
      </w:r>
    </w:p>
    <w:p>
      <w:pPr>
        <w:pStyle w:val="ListParagraph"/>
        <w:numPr>
          <w:ilvl w:val="0"/>
          <w:numId w:val="1"/>
        </w:numPr>
        <w:spacing w:after="60"/>
      </w:pPr>
      <w:r>
        <w:t xml:space="preserve">Application-level rollback: redeploy the previous Lambda function version/alias if a ProcessUpload or RequestUpload change causes validation regressions; DynamoDB and S3 data are not altered by a code rollback.</w:t>
      </w:r>
    </w:p>
    <w:p>
      <w:pPr>
        <w:pStyle w:val="Heading2"/>
        <w:spacing w:after="120" w:before="240"/>
      </w:pPr>
      <w:r>
        <w:t xml:space="preserve">8.3 Teardown</w:t>
      </w:r>
    </w:p>
    <w:p>
      <w:pPr>
        <w:pStyle w:val="ListParagraph"/>
        <w:numPr>
          <w:ilvl w:val="0"/>
          <w:numId w:val="1"/>
        </w:numPr>
        <w:spacing w:after="60"/>
      </w:pPr>
      <w:r>
        <w:t xml:space="preserve">Delete/empty the S3 bucket (including any demo objects) before stack deletion, since a non-empty bucket blocks stack teardown.</w:t>
      </w:r>
    </w:p>
    <w:p>
      <w:pPr>
        <w:pStyle w:val="ListParagraph"/>
        <w:numPr>
          <w:ilvl w:val="0"/>
          <w:numId w:val="1"/>
        </w:numPr>
        <w:spacing w:after="60"/>
      </w:pPr>
      <w:r>
        <w:t xml:space="preserve">Delete the DynamoDB table, Lambda functions, API Gateway stage and associated CloudWatch log groups via the same Infrastructure-as-Code stack deletion.</w:t>
      </w:r>
    </w:p>
    <w:p>
      <w:pPr>
        <w:pStyle w:val="ListParagraph"/>
        <w:numPr>
          <w:ilvl w:val="0"/>
          <w:numId w:val="1"/>
        </w:numPr>
        <w:spacing w:after="60"/>
      </w:pPr>
      <w:r>
        <w:t xml:space="preserve">Confirm via the AWS Cost Explorer / Billing dashboard that no resources remain and cost is $0 after teardown; record the teardown timestamp and confirming screenshot in evidence/milestone-2/.</w:t>
      </w:r>
    </w:p>
    <w:p>
      <w:pPr>
        <w:pStyle w:val="Heading1"/>
        <w:spacing w:after="150" w:before="300"/>
      </w:pPr>
      <w:r>
        <w:t xml:space="preserve">9. Milestone 3 Integration Plan and Updated Role Allocation</w:t>
      </w:r>
    </w:p>
    <w:p>
      <w:pPr>
        <w:spacing w:after="120" w:before="60"/>
      </w:pPr>
      <w:r>
        <w:rPr>
          <w:b w:val="false"/>
          <w:bCs w:val="false"/>
          <w:i w:val="false"/>
          <w:iCs w:val="false"/>
        </w:rPr>
        <w:t xml:space="preserve">Milestone 2 activity 7 requires updating the plan so Milestone 3 ends with one integrated event path. The two-Lambda, pre-signed-URL design means Milestone 3's vertical slice must demonstrate the full round trip: metadata validation → pre-signed URL issue → direct S3 upload → S3 event → finalisation → status 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2850"/>
      </w:tblGrid>
      <w:tr>
        <w:trPr>
          <w:tblHeader/>
        </w:trPr>
        <w:tc>
          <w:tcPr>
            <w:tcW w:type="dxa" w:w="3900"/>
            <w:shd w:fill="DCE6F7" w:val="clear"/>
          </w:tcPr>
          <w:p>
            <w:pPr>
              <w:spacing w:after="40" w:before="40"/>
            </w:pPr>
            <w:r>
              <w:rPr>
                <w:b/>
                <w:bCs/>
                <w:i w:val="false"/>
                <w:iCs w:val="false"/>
                <w:sz w:val="20"/>
                <w:szCs w:val="20"/>
              </w:rPr>
              <w:t xml:space="preserve">Milestone 3 task</w:t>
            </w:r>
          </w:p>
        </w:tc>
        <w:tc>
          <w:tcPr>
            <w:tcW w:type="dxa" w:w="2600"/>
            <w:shd w:fill="DCE6F7" w:val="clear"/>
          </w:tcPr>
          <w:p>
            <w:pPr>
              <w:spacing w:after="40" w:before="40"/>
            </w:pPr>
            <w:r>
              <w:rPr>
                <w:b/>
                <w:bCs/>
                <w:i w:val="false"/>
                <w:iCs w:val="false"/>
                <w:sz w:val="20"/>
                <w:szCs w:val="20"/>
              </w:rPr>
              <w:t xml:space="preserve">Owner</w:t>
            </w:r>
          </w:p>
        </w:tc>
        <w:tc>
          <w:tcPr>
            <w:tcW w:type="dxa" w:w="2850"/>
            <w:shd w:fill="DCE6F7" w:val="clear"/>
          </w:tcPr>
          <w:p>
            <w:pPr>
              <w:spacing w:after="40" w:before="40"/>
            </w:pPr>
            <w:r>
              <w:rPr>
                <w:b/>
                <w:bCs/>
                <w:i w:val="false"/>
                <w:iCs w:val="false"/>
                <w:sz w:val="20"/>
                <w:szCs w:val="20"/>
              </w:rPr>
              <w:t xml:space="preserve">Depends on</w:t>
            </w:r>
          </w:p>
        </w:tc>
      </w:tr>
      <w:tr>
        <w:tc>
          <w:tcPr>
            <w:tcW w:type="dxa" w:w="3900"/>
          </w:tcPr>
          <w:p>
            <w:pPr>
              <w:spacing w:after="40" w:before="40"/>
            </w:pPr>
            <w:r>
              <w:rPr>
                <w:b w:val="false"/>
                <w:bCs w:val="false"/>
                <w:i w:val="false"/>
                <w:iCs w:val="false"/>
                <w:sz w:val="20"/>
                <w:szCs w:val="20"/>
              </w:rPr>
              <w:t xml:space="preserve">Implement and unit-test RequestUpload (validation + presign + PENDING record)</w:t>
            </w:r>
          </w:p>
        </w:tc>
        <w:tc>
          <w:tcPr>
            <w:tcW w:type="dxa" w:w="2600"/>
          </w:tcPr>
          <w:p>
            <w:pPr>
              <w:spacing w:after="40" w:before="40"/>
            </w:pPr>
            <w:r>
              <w:rPr>
                <w:b w:val="false"/>
                <w:bCs w:val="false"/>
                <w:i w:val="false"/>
                <w:iCs w:val="false"/>
                <w:sz w:val="20"/>
                <w:szCs w:val="20"/>
              </w:rPr>
              <w:t xml:space="preserve">Mbalenhle Precide Shandu</w:t>
            </w:r>
          </w:p>
        </w:tc>
        <w:tc>
          <w:tcPr>
            <w:tcW w:type="dxa" w:w="2850"/>
          </w:tcPr>
          <w:p>
            <w:pPr>
              <w:spacing w:after="40" w:before="40"/>
            </w:pPr>
            <w:r>
              <w:rPr>
                <w:b w:val="false"/>
                <w:bCs w:val="false"/>
                <w:i w:val="false"/>
                <w:iCs w:val="false"/>
                <w:sz w:val="20"/>
                <w:szCs w:val="20"/>
              </w:rPr>
              <w:t xml:space="preserve">Interface contract §4.1</w:t>
            </w:r>
          </w:p>
        </w:tc>
      </w:tr>
      <w:tr>
        <w:tc>
          <w:tcPr>
            <w:tcW w:type="dxa" w:w="3900"/>
          </w:tcPr>
          <w:p>
            <w:pPr>
              <w:spacing w:after="40" w:before="40"/>
            </w:pPr>
            <w:r>
              <w:rPr>
                <w:b w:val="false"/>
                <w:bCs w:val="false"/>
                <w:i w:val="false"/>
                <w:iCs w:val="false"/>
                <w:sz w:val="20"/>
                <w:szCs w:val="20"/>
              </w:rPr>
              <w:t xml:space="preserve">Implement and unit-test ProcessUpload (re-verification + status finalisation)</w:t>
            </w:r>
          </w:p>
        </w:tc>
        <w:tc>
          <w:tcPr>
            <w:tcW w:type="dxa" w:w="2600"/>
          </w:tcPr>
          <w:p>
            <w:pPr>
              <w:spacing w:after="40" w:before="40"/>
            </w:pPr>
            <w:r>
              <w:rPr>
                <w:b w:val="false"/>
                <w:bCs w:val="false"/>
                <w:i w:val="false"/>
                <w:iCs w:val="false"/>
                <w:sz w:val="20"/>
                <w:szCs w:val="20"/>
              </w:rPr>
              <w:t xml:space="preserve">Xolile Wendy Sibiya</w:t>
            </w:r>
          </w:p>
        </w:tc>
        <w:tc>
          <w:tcPr>
            <w:tcW w:type="dxa" w:w="2850"/>
          </w:tcPr>
          <w:p>
            <w:pPr>
              <w:spacing w:after="40" w:before="40"/>
            </w:pPr>
            <w:r>
              <w:rPr>
                <w:b w:val="false"/>
                <w:bCs w:val="false"/>
                <w:i w:val="false"/>
                <w:iCs w:val="false"/>
                <w:sz w:val="20"/>
                <w:szCs w:val="20"/>
              </w:rPr>
              <w:t xml:space="preserve">Interface contract §4.2</w:t>
            </w:r>
          </w:p>
        </w:tc>
      </w:tr>
      <w:tr>
        <w:tc>
          <w:tcPr>
            <w:tcW w:type="dxa" w:w="3900"/>
          </w:tcPr>
          <w:p>
            <w:pPr>
              <w:spacing w:after="40" w:before="40"/>
            </w:pPr>
            <w:r>
              <w:rPr>
                <w:b w:val="false"/>
                <w:bCs w:val="false"/>
                <w:i w:val="false"/>
                <w:iCs w:val="false"/>
                <w:sz w:val="20"/>
                <w:szCs w:val="20"/>
              </w:rPr>
              <w:t xml:space="preserve">Wire IAM roles, S3 bucket policy and API Gateway per Section 2.1</w:t>
            </w:r>
          </w:p>
        </w:tc>
        <w:tc>
          <w:tcPr>
            <w:tcW w:type="dxa" w:w="2600"/>
          </w:tcPr>
          <w:p>
            <w:pPr>
              <w:spacing w:after="40" w:before="40"/>
            </w:pPr>
            <w:r>
              <w:rPr>
                <w:b w:val="false"/>
                <w:bCs w:val="false"/>
                <w:i w:val="false"/>
                <w:iCs w:val="false"/>
                <w:sz w:val="20"/>
                <w:szCs w:val="20"/>
              </w:rPr>
              <w:t xml:space="preserve">Xolani Thwala</w:t>
            </w:r>
          </w:p>
        </w:tc>
        <w:tc>
          <w:tcPr>
            <w:tcW w:type="dxa" w:w="2850"/>
          </w:tcPr>
          <w:p>
            <w:pPr>
              <w:spacing w:after="40" w:before="40"/>
            </w:pPr>
            <w:r>
              <w:rPr>
                <w:b w:val="false"/>
                <w:bCs w:val="false"/>
                <w:i w:val="false"/>
                <w:iCs w:val="false"/>
                <w:sz w:val="20"/>
                <w:szCs w:val="20"/>
              </w:rPr>
              <w:t xml:space="preserve">Section 2 architecture</w:t>
            </w:r>
          </w:p>
        </w:tc>
      </w:tr>
      <w:tr>
        <w:tc>
          <w:tcPr>
            <w:tcW w:type="dxa" w:w="3900"/>
          </w:tcPr>
          <w:p>
            <w:pPr>
              <w:spacing w:after="40" w:before="40"/>
            </w:pPr>
            <w:r>
              <w:rPr>
                <w:b w:val="false"/>
                <w:bCs w:val="false"/>
                <w:i w:val="false"/>
                <w:iCs w:val="false"/>
                <w:sz w:val="20"/>
                <w:szCs w:val="20"/>
              </w:rPr>
              <w:t xml:space="preserve">Implement and run the selected failure test (S3 upload interruption → PENDING/EXPIRED handling)</w:t>
            </w:r>
          </w:p>
        </w:tc>
        <w:tc>
          <w:tcPr>
            <w:tcW w:type="dxa" w:w="2600"/>
          </w:tcPr>
          <w:p>
            <w:pPr>
              <w:spacing w:after="40" w:before="40"/>
            </w:pPr>
            <w:r>
              <w:rPr>
                <w:b w:val="false"/>
                <w:bCs w:val="false"/>
                <w:i w:val="false"/>
                <w:iCs w:val="false"/>
                <w:sz w:val="20"/>
                <w:szCs w:val="20"/>
              </w:rPr>
              <w:t xml:space="preserve">Xolani Thwala + Mbalenhle Precide Shandu</w:t>
            </w:r>
          </w:p>
        </w:tc>
        <w:tc>
          <w:tcPr>
            <w:tcW w:type="dxa" w:w="2850"/>
          </w:tcPr>
          <w:p>
            <w:pPr>
              <w:spacing w:after="40" w:before="40"/>
            </w:pPr>
            <w:r>
              <w:rPr>
                <w:b w:val="false"/>
                <w:bCs w:val="false"/>
                <w:i w:val="false"/>
                <w:iCs w:val="false"/>
                <w:sz w:val="20"/>
                <w:szCs w:val="20"/>
              </w:rPr>
              <w:t xml:space="preserve">Section 5 failure table</w:t>
            </w:r>
          </w:p>
        </w:tc>
      </w:tr>
      <w:tr>
        <w:tc>
          <w:tcPr>
            <w:tcW w:type="dxa" w:w="3900"/>
          </w:tcPr>
          <w:p>
            <w:pPr>
              <w:spacing w:after="40" w:before="40"/>
            </w:pPr>
            <w:r>
              <w:rPr>
                <w:b w:val="false"/>
                <w:bCs w:val="false"/>
                <w:i w:val="false"/>
                <w:iCs w:val="false"/>
                <w:sz w:val="20"/>
                <w:szCs w:val="20"/>
              </w:rPr>
              <w:t xml:space="preserve">Add a GET /submissions/{id} status endpoint so the client can poll PENDING/ACCEPTED/REJECTED</w:t>
            </w:r>
          </w:p>
        </w:tc>
        <w:tc>
          <w:tcPr>
            <w:tcW w:type="dxa" w:w="2600"/>
          </w:tcPr>
          <w:p>
            <w:pPr>
              <w:spacing w:after="40" w:before="40"/>
            </w:pPr>
            <w:r>
              <w:rPr>
                <w:b w:val="false"/>
                <w:bCs w:val="false"/>
                <w:i w:val="false"/>
                <w:iCs w:val="false"/>
                <w:sz w:val="20"/>
                <w:szCs w:val="20"/>
              </w:rPr>
              <w:t xml:space="preserve">Abongile Sigidi</w:t>
            </w:r>
          </w:p>
        </w:tc>
        <w:tc>
          <w:tcPr>
            <w:tcW w:type="dxa" w:w="2850"/>
          </w:tcPr>
          <w:p>
            <w:pPr>
              <w:spacing w:after="40" w:before="40"/>
            </w:pPr>
            <w:r>
              <w:rPr>
                <w:b w:val="false"/>
                <w:bCs w:val="false"/>
                <w:i w:val="false"/>
                <w:iCs w:val="false"/>
                <w:sz w:val="20"/>
                <w:szCs w:val="20"/>
              </w:rPr>
              <w:t xml:space="preserve">Traceability rule (one correlation ID)</w:t>
            </w:r>
          </w:p>
        </w:tc>
      </w:tr>
      <w:tr>
        <w:tc>
          <w:tcPr>
            <w:tcW w:type="dxa" w:w="3900"/>
          </w:tcPr>
          <w:p>
            <w:pPr>
              <w:spacing w:after="40" w:before="40"/>
            </w:pPr>
            <w:r>
              <w:rPr>
                <w:b w:val="false"/>
                <w:bCs w:val="false"/>
                <w:i w:val="false"/>
                <w:iCs w:val="false"/>
                <w:sz w:val="20"/>
                <w:szCs w:val="20"/>
              </w:rPr>
              <w:t xml:space="preserve">Collect cost/teardown evidence and finalise Milestone 3 report</w:t>
            </w:r>
          </w:p>
        </w:tc>
        <w:tc>
          <w:tcPr>
            <w:tcW w:type="dxa" w:w="2600"/>
          </w:tcPr>
          <w:p>
            <w:pPr>
              <w:spacing w:after="40" w:before="40"/>
            </w:pPr>
            <w:r>
              <w:rPr>
                <w:b w:val="false"/>
                <w:bCs w:val="false"/>
                <w:i w:val="false"/>
                <w:iCs w:val="false"/>
                <w:sz w:val="20"/>
                <w:szCs w:val="20"/>
              </w:rPr>
              <w:t xml:space="preserve">Amanda Nokwanda Mlotshwa</w:t>
            </w:r>
          </w:p>
        </w:tc>
        <w:tc>
          <w:tcPr>
            <w:tcW w:type="dxa" w:w="2850"/>
          </w:tcPr>
          <w:p>
            <w:pPr>
              <w:spacing w:after="40" w:before="40"/>
            </w:pPr>
            <w:r>
              <w:rPr>
                <w:b w:val="false"/>
                <w:bCs w:val="false"/>
                <w:i w:val="false"/>
                <w:iCs w:val="false"/>
                <w:sz w:val="20"/>
                <w:szCs w:val="20"/>
              </w:rPr>
              <w:t xml:space="preserve">Section 7 and 8</w:t>
            </w:r>
          </w:p>
        </w:tc>
      </w:tr>
    </w:tbl>
    <w:p>
      <w:pPr>
        <w:spacing w:after="120" w:before="60"/>
      </w:pPr>
      <w:r>
        <w:rPr>
          <w:b w:val="false"/>
          <w:bCs w:val="false"/>
          <w:i w:val="false"/>
          <w:iCs w:val="false"/>
        </w:rPr>
        <w:t xml:space="preserve">Role allocation is otherwise unchanged from Milestone 1 (Section 2 of the Milestone 1 report); Abongile Sigidi remains Architecture &amp; Integration Lead and coordinates the round-trip integration test across both Lambdas.</w:t>
      </w:r>
    </w:p>
    <w:p>
      <w:r>
        <w:br w:type="page"/>
      </w:r>
    </w:p>
    <w:p>
      <w:pPr>
        <w:pStyle w:val="Heading1"/>
        <w:spacing w:after="150" w:before="300"/>
      </w:pPr>
      <w:r>
        <w:t xml:space="preserve">10. Milestone 2 Submission Checklist</w:t>
      </w:r>
    </w:p>
    <w:p>
      <w:pPr>
        <w:spacing w:after="60"/>
      </w:pPr>
      <w:r>
        <w:t xml:space="preserve">☐ Revised annotated architecture and event-flow diagram — Section 2.</w:t>
      </w:r>
    </w:p>
    <w:p>
      <w:pPr>
        <w:spacing w:after="60"/>
      </w:pPr>
      <w:r>
        <w:t xml:space="preserve">☐ Service-choice/alternative decision records — Section 3 (ADR-1, ADR-2, ADR-3).</w:t>
      </w:r>
    </w:p>
    <w:p>
      <w:pPr>
        <w:spacing w:after="60"/>
      </w:pPr>
      <w:r>
        <w:t xml:space="preserve">☐ Interface contract and data/message definitions — Section 4.</w:t>
      </w:r>
    </w:p>
    <w:p>
      <w:pPr>
        <w:spacing w:after="60"/>
      </w:pPr>
      <w:r>
        <w:t xml:space="preserve">☐ Failure table: failure, expected user behaviour, evidence and recovery/degradation — Section 5.</w:t>
      </w:r>
    </w:p>
    <w:p>
      <w:pPr>
        <w:spacing w:after="60"/>
      </w:pPr>
      <w:r>
        <w:t xml:space="preserve">☐ Threat/credential checklist and trust-boundary diagram — Section 6 and Figure 1.</w:t>
      </w:r>
    </w:p>
    <w:p>
      <w:pPr>
        <w:spacing w:after="60"/>
      </w:pPr>
      <w:r>
        <w:t xml:space="preserve">☐ Indicative cost worksheet plus budget/alert or local-resource control plan — Section 7.</w:t>
      </w:r>
    </w:p>
    <w:p>
      <w:pPr>
        <w:spacing w:after="60"/>
      </w:pPr>
      <w:r>
        <w:t xml:space="preserve">☐ Milestone 3 integration plan and updated role allocation — Section 9.</w:t>
      </w:r>
    </w:p>
    <w:p>
      <w:pPr>
        <w:pStyle w:val="Heading1"/>
        <w:spacing w:after="150" w:before="300"/>
      </w:pPr>
      <w:r>
        <w:t xml:space="preserve">11. Acceptance Checklist (self-check)</w:t>
      </w:r>
    </w:p>
    <w:p>
      <w:pPr>
        <w:spacing w:after="60"/>
      </w:pPr>
      <w:r>
        <w:t xml:space="preserve">☐ Every arrow has a protocol, event or data meaning — YES, labelled 1–8 in Figure 1.</w:t>
      </w:r>
    </w:p>
    <w:p>
      <w:pPr>
        <w:spacing w:after="60"/>
      </w:pPr>
      <w:r>
        <w:t xml:space="preserve">☐ Persistent state is not hidden inside a replaceable function or container — YES, all state lives in S3/DynamoDB; both Lambdas are stateless.</w:t>
      </w:r>
    </w:p>
    <w:p>
      <w:pPr>
        <w:spacing w:after="60"/>
      </w:pPr>
      <w:r>
        <w:t xml:space="preserve">☐ The failure test can be performed safely and repeatedly — YES, the selected scenario (interrupted/expired upload) requires no destructive account action.</w:t>
      </w:r>
    </w:p>
    <w:p>
      <w:pPr>
        <w:spacing w:after="60"/>
      </w:pPr>
      <w:r>
        <w:t xml:space="preserve">☐ No design requires shared administrator credentials — YES, each Lambda has its own scoped execution role; no console admin access is used in the request/upload path.</w:t>
      </w:r>
    </w:p>
    <w:p>
      <w:pPr>
        <w:spacing w:after="60"/>
      </w:pPr>
      <w:r>
        <w:t xml:space="preserve">☐ Cost grows in ways the team can explain and monitor — YES, Section 7 ties every cost line to a request/storage/invocation count with a budget alert.</w:t>
      </w:r>
    </w:p>
    <w:p>
      <w:pPr>
        <w:spacing w:after="60"/>
      </w:pPr>
      <w:r>
        <w:t xml:space="preserve">☐ Deployment and teardown can be performed from written instructions — YES, Section 8, backed by an Infrastructure-as-Code template in infra/.</w:t>
      </w:r>
    </w:p>
    <w:p>
      <w:pPr>
        <w:pStyle w:val="Heading1"/>
        <w:spacing w:after="150" w:before="300"/>
      </w:pPr>
      <w:r>
        <w:t xml:space="preserve">Appendix A — Updated Decision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CE6F7" w:val="clear"/>
          </w:tcPr>
          <w:p>
            <w:pPr>
              <w:spacing w:after="40" w:before="40"/>
            </w:pPr>
            <w:r>
              <w:rPr>
                <w:b/>
                <w:bCs/>
                <w:i w:val="false"/>
                <w:iCs w:val="false"/>
                <w:sz w:val="20"/>
                <w:szCs w:val="20"/>
              </w:rPr>
              <w:t xml:space="preserve">Decision</w:t>
            </w:r>
          </w:p>
        </w:tc>
        <w:tc>
          <w:tcPr>
            <w:tcW w:type="dxa" w:w="6750"/>
            <w:shd w:fill="DCE6F7" w:val="clear"/>
          </w:tcPr>
          <w:p>
            <w:pPr>
              <w:spacing w:after="40" w:before="40"/>
            </w:pPr>
            <w:r>
              <w:rPr>
                <w:b/>
                <w:bCs/>
                <w:i w:val="false"/>
                <w:iCs w:val="false"/>
                <w:sz w:val="20"/>
                <w:szCs w:val="20"/>
              </w:rPr>
              <w:t xml:space="preserve">Selected position</w:t>
            </w:r>
          </w:p>
        </w:tc>
      </w:tr>
      <w:tr>
        <w:tc>
          <w:tcPr>
            <w:tcW w:type="dxa" w:w="2600"/>
          </w:tcPr>
          <w:p>
            <w:pPr>
              <w:spacing w:after="40" w:before="40"/>
            </w:pPr>
            <w:r>
              <w:rPr>
                <w:b w:val="false"/>
                <w:bCs w:val="false"/>
                <w:i w:val="false"/>
                <w:iCs w:val="false"/>
                <w:sz w:val="20"/>
                <w:szCs w:val="20"/>
              </w:rPr>
              <w:t xml:space="preserve">Upload mechanism</w:t>
            </w:r>
          </w:p>
        </w:tc>
        <w:tc>
          <w:tcPr>
            <w:tcW w:type="dxa" w:w="6750"/>
          </w:tcPr>
          <w:p>
            <w:pPr>
              <w:spacing w:after="40" w:before="40"/>
            </w:pPr>
            <w:r>
              <w:rPr>
                <w:b w:val="false"/>
                <w:bCs w:val="false"/>
                <w:i w:val="false"/>
                <w:iCs w:val="false"/>
                <w:sz w:val="20"/>
                <w:szCs w:val="20"/>
              </w:rPr>
              <w:t xml:space="preserve">Client uploads directly to S3 via a short-lived pre-signed URL (ADR-1)</w:t>
            </w:r>
          </w:p>
        </w:tc>
      </w:tr>
      <w:tr>
        <w:tc>
          <w:tcPr>
            <w:tcW w:type="dxa" w:w="2600"/>
          </w:tcPr>
          <w:p>
            <w:pPr>
              <w:spacing w:after="40" w:before="40"/>
            </w:pPr>
            <w:r>
              <w:rPr>
                <w:b w:val="false"/>
                <w:bCs w:val="false"/>
                <w:i w:val="false"/>
                <w:iCs w:val="false"/>
                <w:sz w:val="20"/>
                <w:szCs w:val="20"/>
              </w:rPr>
              <w:t xml:space="preserve">Function split</w:t>
            </w:r>
          </w:p>
        </w:tc>
        <w:tc>
          <w:tcPr>
            <w:tcW w:type="dxa" w:w="6750"/>
          </w:tcPr>
          <w:p>
            <w:pPr>
              <w:spacing w:after="40" w:before="40"/>
            </w:pPr>
            <w:r>
              <w:rPr>
                <w:b w:val="false"/>
                <w:bCs w:val="false"/>
                <w:i w:val="false"/>
                <w:iCs w:val="false"/>
                <w:sz w:val="20"/>
                <w:szCs w:val="20"/>
              </w:rPr>
              <w:t xml:space="preserve">RequestUpload (sync, API Gateway) + ProcessUpload (async, S3 event) (ADR-2)</w:t>
            </w:r>
          </w:p>
        </w:tc>
      </w:tr>
      <w:tr>
        <w:tc>
          <w:tcPr>
            <w:tcW w:type="dxa" w:w="2600"/>
          </w:tcPr>
          <w:p>
            <w:pPr>
              <w:spacing w:after="40" w:before="40"/>
            </w:pPr>
            <w:r>
              <w:rPr>
                <w:b w:val="false"/>
                <w:bCs w:val="false"/>
                <w:i w:val="false"/>
                <w:iCs w:val="false"/>
                <w:sz w:val="20"/>
                <w:szCs w:val="20"/>
              </w:rPr>
              <w:t xml:space="preserve">Metadata store design</w:t>
            </w:r>
          </w:p>
        </w:tc>
        <w:tc>
          <w:tcPr>
            <w:tcW w:type="dxa" w:w="6750"/>
          </w:tcPr>
          <w:p>
            <w:pPr>
              <w:spacing w:after="40" w:before="40"/>
            </w:pPr>
            <w:r>
              <w:rPr>
                <w:b w:val="false"/>
                <w:bCs w:val="false"/>
                <w:i w:val="false"/>
                <w:iCs w:val="false"/>
                <w:sz w:val="20"/>
                <w:szCs w:val="20"/>
              </w:rPr>
              <w:t xml:space="preserve">Single DynamoDB table, PK = submission_id, status PENDING → ACCEPTED/REJECTED (ADR-3)</w:t>
            </w:r>
          </w:p>
        </w:tc>
      </w:tr>
      <w:tr>
        <w:tc>
          <w:tcPr>
            <w:tcW w:type="dxa" w:w="2600"/>
          </w:tcPr>
          <w:p>
            <w:pPr>
              <w:spacing w:after="40" w:before="40"/>
            </w:pPr>
            <w:r>
              <w:rPr>
                <w:b w:val="false"/>
                <w:bCs w:val="false"/>
                <w:i w:val="false"/>
                <w:iCs w:val="false"/>
                <w:sz w:val="20"/>
                <w:szCs w:val="20"/>
              </w:rPr>
              <w:t xml:space="preserve">Selected failure test</w:t>
            </w:r>
          </w:p>
        </w:tc>
        <w:tc>
          <w:tcPr>
            <w:tcW w:type="dxa" w:w="6750"/>
          </w:tcPr>
          <w:p>
            <w:pPr>
              <w:spacing w:after="40" w:before="40"/>
            </w:pPr>
            <w:r>
              <w:rPr>
                <w:b w:val="false"/>
                <w:bCs w:val="false"/>
                <w:i w:val="false"/>
                <w:iCs w:val="false"/>
                <w:sz w:val="20"/>
                <w:szCs w:val="20"/>
              </w:rPr>
              <w:t xml:space="preserve">Upload interrupted after URL issued → record stays PENDING, detectable and recoverable</w:t>
            </w:r>
          </w:p>
        </w:tc>
      </w:tr>
      <w:tr>
        <w:tc>
          <w:tcPr>
            <w:tcW w:type="dxa" w:w="2600"/>
          </w:tcPr>
          <w:p>
            <w:pPr>
              <w:spacing w:after="40" w:before="40"/>
            </w:pPr>
            <w:r>
              <w:rPr>
                <w:b w:val="false"/>
                <w:bCs w:val="false"/>
                <w:i w:val="false"/>
                <w:iCs w:val="false"/>
                <w:sz w:val="20"/>
                <w:szCs w:val="20"/>
              </w:rPr>
              <w:t xml:space="preserve">Cost posture</w:t>
            </w:r>
          </w:p>
        </w:tc>
        <w:tc>
          <w:tcPr>
            <w:tcW w:type="dxa" w:w="6750"/>
          </w:tcPr>
          <w:p>
            <w:pPr>
              <w:spacing w:after="40" w:before="40"/>
            </w:pPr>
            <w:r>
              <w:rPr>
                <w:b w:val="false"/>
                <w:bCs w:val="false"/>
                <w:i w:val="false"/>
                <w:iCs w:val="false"/>
                <w:sz w:val="20"/>
                <w:szCs w:val="20"/>
              </w:rPr>
              <w:t xml:space="preserve">Expected $0 for Milestone 2/3 workload; stays within AWS free tier; budget alert configured</w:t>
            </w:r>
          </w:p>
        </w:tc>
      </w:tr>
      <w:tr>
        <w:tc>
          <w:tcPr>
            <w:tcW w:type="dxa" w:w="2600"/>
          </w:tcPr>
          <w:p>
            <w:pPr>
              <w:spacing w:after="40" w:before="40"/>
            </w:pPr>
            <w:r>
              <w:rPr>
                <w:b w:val="false"/>
                <w:bCs w:val="false"/>
                <w:i w:val="false"/>
                <w:iCs w:val="false"/>
                <w:sz w:val="20"/>
                <w:szCs w:val="20"/>
              </w:rPr>
              <w:t xml:space="preserve">Carried-forward assumption to confirm</w:t>
            </w:r>
          </w:p>
        </w:tc>
        <w:tc>
          <w:tcPr>
            <w:tcW w:type="dxa" w:w="6750"/>
          </w:tcPr>
          <w:p>
            <w:pPr>
              <w:spacing w:after="40" w:before="40"/>
            </w:pPr>
            <w:r>
              <w:rPr>
                <w:b w:val="false"/>
                <w:bCs w:val="false"/>
                <w:i w:val="false"/>
                <w:iCs w:val="false"/>
                <w:sz w:val="20"/>
                <w:szCs w:val="20"/>
              </w:rPr>
              <w:t xml:space="preserve">Presigned-URL flow chosen because base64 body upload would exceed Lambda's 6 MB payload limit at the agreed 10 MB file-size cap — confirm with team before Milestone 3 implementation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7f81e06677d8c6a0a4e27f00339ebf4a23d74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2026-09-19T13:55:24.407Z</dcterms:created>
  <dcterms:modified xsi:type="dcterms:W3CDTF">2026-09-19T13:55:24.417Z</dcterms:modified>
</cp:coreProperties>
</file>

<file path=docProps/custom.xml><?xml version="1.0" encoding="utf-8"?>
<Properties xmlns="http://schemas.openxmlformats.org/officeDocument/2006/custom-properties" xmlns:vt="http://schemas.openxmlformats.org/officeDocument/2006/docPropsVTypes"/>
</file>