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0A879" w14:textId="77777777" w:rsidR="00E5596A" w:rsidRDefault="00E5596A" w:rsidP="00E5596A">
      <w:pPr>
        <w:spacing w:line="480" w:lineRule="auto"/>
        <w:jc w:val="both"/>
        <w:rPr>
          <w:rFonts w:asciiTheme="minorBidi" w:hAnsiTheme="minorBidi"/>
          <w:b/>
          <w:bCs/>
        </w:rPr>
      </w:pPr>
    </w:p>
    <w:p w14:paraId="386128E1" w14:textId="77777777" w:rsidR="00E5596A" w:rsidRDefault="00E5596A" w:rsidP="00E5596A">
      <w:pPr>
        <w:spacing w:line="480" w:lineRule="auto"/>
        <w:jc w:val="both"/>
        <w:rPr>
          <w:rFonts w:asciiTheme="minorBidi" w:hAnsiTheme="minorBidi"/>
          <w:b/>
          <w:bCs/>
        </w:rPr>
      </w:pPr>
    </w:p>
    <w:p w14:paraId="41A8EAF8" w14:textId="6C2741D7" w:rsidR="00E5596A" w:rsidRDefault="00E5596A" w:rsidP="00E5596A">
      <w:pPr>
        <w:spacing w:line="480" w:lineRule="auto"/>
        <w:jc w:val="center"/>
        <w:rPr>
          <w:rFonts w:asciiTheme="minorBidi" w:hAnsiTheme="minorBidi"/>
          <w:b/>
          <w:bCs/>
        </w:rPr>
      </w:pPr>
      <w:r>
        <w:rPr>
          <w:rFonts w:asciiTheme="minorBidi" w:hAnsiTheme="minorBidi"/>
          <w:b/>
          <w:bCs/>
        </w:rPr>
        <w:t>Report Title:</w:t>
      </w:r>
    </w:p>
    <w:p w14:paraId="43CC3E87" w14:textId="5CE4694F" w:rsidR="00E5596A" w:rsidRDefault="00E5596A" w:rsidP="00E5596A">
      <w:pPr>
        <w:spacing w:line="480" w:lineRule="auto"/>
        <w:jc w:val="center"/>
        <w:rPr>
          <w:rFonts w:asciiTheme="minorBidi" w:hAnsiTheme="minorBidi"/>
          <w:b/>
          <w:bCs/>
        </w:rPr>
      </w:pPr>
      <w:r w:rsidRPr="00E5596A">
        <w:rPr>
          <w:rFonts w:asciiTheme="minorBidi" w:hAnsiTheme="minorBidi"/>
          <w:b/>
          <w:bCs/>
        </w:rPr>
        <w:t>Executive assessment of international procurement and warehouse automation</w:t>
      </w:r>
    </w:p>
    <w:p w14:paraId="3FAB64F5" w14:textId="77777777" w:rsidR="00E5596A" w:rsidRDefault="00E5596A" w:rsidP="00E5596A">
      <w:pPr>
        <w:spacing w:line="480" w:lineRule="auto"/>
        <w:jc w:val="center"/>
        <w:rPr>
          <w:rFonts w:asciiTheme="minorBidi" w:hAnsiTheme="minorBidi"/>
          <w:b/>
          <w:bCs/>
        </w:rPr>
      </w:pPr>
    </w:p>
    <w:p w14:paraId="14A814D4" w14:textId="77777777" w:rsidR="00E5596A" w:rsidRPr="00E5596A" w:rsidRDefault="00E5596A" w:rsidP="00E5596A">
      <w:pPr>
        <w:spacing w:line="480" w:lineRule="auto"/>
        <w:jc w:val="center"/>
        <w:rPr>
          <w:rFonts w:asciiTheme="minorBidi" w:hAnsiTheme="minorBidi"/>
          <w:b/>
          <w:bCs/>
        </w:rPr>
      </w:pPr>
    </w:p>
    <w:p w14:paraId="7705C5E4" w14:textId="77777777" w:rsidR="00E5596A" w:rsidRDefault="00E5596A" w:rsidP="00E5596A">
      <w:pPr>
        <w:spacing w:line="480" w:lineRule="auto"/>
        <w:jc w:val="center"/>
        <w:rPr>
          <w:rFonts w:asciiTheme="minorBidi" w:hAnsiTheme="minorBidi"/>
          <w:b/>
          <w:bCs/>
        </w:rPr>
      </w:pPr>
      <w:r w:rsidRPr="00E5596A">
        <w:rPr>
          <w:rFonts w:asciiTheme="minorBidi" w:hAnsiTheme="minorBidi"/>
          <w:b/>
          <w:bCs/>
        </w:rPr>
        <w:t>Assessment: Individual Project: Executive Summary</w:t>
      </w:r>
    </w:p>
    <w:p w14:paraId="5267F631" w14:textId="77777777" w:rsidR="00E5596A" w:rsidRDefault="00E5596A" w:rsidP="00E5596A">
      <w:pPr>
        <w:spacing w:line="480" w:lineRule="auto"/>
        <w:jc w:val="center"/>
        <w:rPr>
          <w:rFonts w:asciiTheme="minorBidi" w:hAnsiTheme="minorBidi"/>
          <w:b/>
          <w:bCs/>
        </w:rPr>
      </w:pPr>
    </w:p>
    <w:p w14:paraId="2CB0AEE6" w14:textId="0F33D466" w:rsidR="00E5596A" w:rsidRDefault="00E5596A" w:rsidP="00E5596A">
      <w:pPr>
        <w:spacing w:line="480" w:lineRule="auto"/>
        <w:jc w:val="center"/>
        <w:rPr>
          <w:rFonts w:asciiTheme="minorBidi" w:hAnsiTheme="minorBidi"/>
          <w:b/>
          <w:bCs/>
        </w:rPr>
      </w:pPr>
      <w:r w:rsidRPr="00E5596A">
        <w:rPr>
          <w:rFonts w:asciiTheme="minorBidi" w:hAnsiTheme="minorBidi"/>
          <w:b/>
          <w:bCs/>
        </w:rPr>
        <w:br/>
        <w:t>Module: Security and Risk Management</w:t>
      </w:r>
    </w:p>
    <w:p w14:paraId="729146C2" w14:textId="08602991" w:rsidR="00E5596A" w:rsidRDefault="00E5596A" w:rsidP="00E5596A">
      <w:pPr>
        <w:spacing w:line="480" w:lineRule="auto"/>
        <w:jc w:val="center"/>
        <w:rPr>
          <w:rFonts w:asciiTheme="minorBidi" w:hAnsiTheme="minorBidi"/>
          <w:b/>
          <w:bCs/>
        </w:rPr>
      </w:pPr>
    </w:p>
    <w:p w14:paraId="76F3C7B8" w14:textId="77777777" w:rsidR="00E5596A" w:rsidRDefault="00E5596A" w:rsidP="00E5596A">
      <w:pPr>
        <w:spacing w:line="480" w:lineRule="auto"/>
        <w:jc w:val="center"/>
        <w:rPr>
          <w:rFonts w:asciiTheme="minorBidi" w:hAnsiTheme="minorBidi"/>
          <w:b/>
          <w:bCs/>
        </w:rPr>
      </w:pPr>
      <w:r w:rsidRPr="00E5596A">
        <w:rPr>
          <w:rFonts w:asciiTheme="minorBidi" w:hAnsiTheme="minorBidi"/>
          <w:b/>
          <w:bCs/>
        </w:rPr>
        <w:br/>
        <w:t>Submission date: Monday, 12 October 2026</w:t>
      </w:r>
    </w:p>
    <w:p w14:paraId="0D878FB9" w14:textId="0141C46D" w:rsidR="00E5596A" w:rsidRPr="00E5596A" w:rsidRDefault="00E5596A" w:rsidP="00E5596A">
      <w:pPr>
        <w:spacing w:line="480" w:lineRule="auto"/>
        <w:jc w:val="both"/>
        <w:rPr>
          <w:rFonts w:asciiTheme="minorBidi" w:hAnsiTheme="minorBidi"/>
          <w:b/>
          <w:bCs/>
        </w:rPr>
      </w:pPr>
      <w:r w:rsidRPr="00E5596A">
        <w:rPr>
          <w:rFonts w:asciiTheme="minorBidi" w:hAnsiTheme="minorBidi"/>
          <w:b/>
          <w:bCs/>
        </w:rPr>
        <w:br/>
      </w:r>
    </w:p>
    <w:p w14:paraId="39A6887C" w14:textId="77777777" w:rsidR="00E5596A" w:rsidRDefault="00E5596A" w:rsidP="00E5596A">
      <w:pPr>
        <w:spacing w:line="480" w:lineRule="auto"/>
        <w:jc w:val="both"/>
        <w:rPr>
          <w:rFonts w:asciiTheme="minorBidi" w:hAnsiTheme="minorBidi"/>
          <w:b/>
          <w:bCs/>
        </w:rPr>
      </w:pPr>
    </w:p>
    <w:p w14:paraId="4C02E311" w14:textId="77777777" w:rsidR="00E5596A" w:rsidRDefault="00E5596A" w:rsidP="00E5596A">
      <w:pPr>
        <w:spacing w:line="480" w:lineRule="auto"/>
        <w:jc w:val="both"/>
        <w:rPr>
          <w:rFonts w:asciiTheme="minorBidi" w:hAnsiTheme="minorBidi"/>
          <w:b/>
          <w:bCs/>
        </w:rPr>
      </w:pPr>
    </w:p>
    <w:p w14:paraId="637CCCF4" w14:textId="77777777" w:rsidR="00E5596A" w:rsidRDefault="00E5596A" w:rsidP="00E5596A">
      <w:pPr>
        <w:spacing w:line="480" w:lineRule="auto"/>
        <w:jc w:val="both"/>
        <w:rPr>
          <w:rFonts w:asciiTheme="minorBidi" w:hAnsiTheme="minorBidi"/>
          <w:b/>
          <w:bCs/>
        </w:rPr>
      </w:pPr>
    </w:p>
    <w:p w14:paraId="48ED85BF" w14:textId="77777777" w:rsidR="00E5596A" w:rsidRDefault="00E5596A" w:rsidP="00E5596A">
      <w:pPr>
        <w:spacing w:line="480" w:lineRule="auto"/>
        <w:jc w:val="both"/>
        <w:rPr>
          <w:rFonts w:asciiTheme="minorBidi" w:hAnsiTheme="minorBidi"/>
          <w:b/>
          <w:bCs/>
        </w:rPr>
      </w:pPr>
    </w:p>
    <w:p w14:paraId="6D644ABE" w14:textId="77777777" w:rsidR="00E5596A" w:rsidRDefault="00E5596A" w:rsidP="00E5596A">
      <w:pPr>
        <w:spacing w:line="480" w:lineRule="auto"/>
        <w:jc w:val="both"/>
        <w:rPr>
          <w:rFonts w:asciiTheme="minorBidi" w:hAnsiTheme="minorBidi"/>
          <w:b/>
          <w:bCs/>
        </w:rPr>
      </w:pPr>
    </w:p>
    <w:p w14:paraId="4DCCDC54" w14:textId="795C84EC" w:rsidR="00E5596A" w:rsidRPr="00E5596A" w:rsidRDefault="00E5596A" w:rsidP="00E5596A">
      <w:pPr>
        <w:spacing w:line="480" w:lineRule="auto"/>
        <w:jc w:val="both"/>
        <w:rPr>
          <w:rFonts w:asciiTheme="minorBidi" w:hAnsiTheme="minorBidi"/>
          <w:b/>
          <w:bCs/>
        </w:rPr>
      </w:pPr>
      <w:r w:rsidRPr="00E5596A">
        <w:rPr>
          <w:rFonts w:asciiTheme="minorBidi" w:hAnsiTheme="minorBidi"/>
          <w:b/>
          <w:bCs/>
        </w:rPr>
        <w:lastRenderedPageBreak/>
        <w:t>1 Protecting the promise behind expansion</w:t>
      </w:r>
    </w:p>
    <w:p w14:paraId="472D64F9"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Pampered Pets should authorise international expansion only after demonstrating that product conformity, dependable fulfilment and recoverable customer records survive the operational changes. The attraction of serving the King and Prince Albert II cannot justify weakening the standards that attracted them. This assessment estimates a 5.06% probability of quality nonconformity per delivered batch and a 19.47% monthly probability of a material supply disruption under an illustrative baseline. These are conditional planning estimates, not measured company performance or research findings.</w:t>
      </w:r>
    </w:p>
    <w:p w14:paraId="338771DC"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The earlier group assessment establishes vulnerabilities: limited staffing, fragmented stock information and reliance on nearby suppliers. International procurement and automated warehouses add longer journeys, unfamiliar counterparties and dependencies between physical operations and software. Risk therefore concerns consequences and uncertainty together, rather than frequency alone (Heckmann, Comes and Nickel, 2015). Interconnected suppliers may also share infrastructure, making apparent diversification misleading (Ivanov and Dolgui, 2020).</w:t>
      </w:r>
    </w:p>
    <w:p w14:paraId="6E27D0BF"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Commercial priorities are to prevent unsafe or misdescribed products reaching customers, maintain credible delivery commitments, and protect ordering continuity. The proposed controls reduce modelled exposure, but expansion should remain conditional on checked operating evidence. Royal customers should receive factual assurance about testing and traceability, without unsupported promises of flawless products or uninterrupted supply.</w:t>
      </w:r>
    </w:p>
    <w:p w14:paraId="088028B3" w14:textId="77777777" w:rsidR="00E5596A" w:rsidRPr="00E5596A" w:rsidRDefault="00E5596A" w:rsidP="00E5596A">
      <w:pPr>
        <w:spacing w:line="480" w:lineRule="auto"/>
        <w:jc w:val="both"/>
        <w:rPr>
          <w:rFonts w:asciiTheme="minorBidi" w:hAnsiTheme="minorBidi"/>
          <w:b/>
          <w:bCs/>
        </w:rPr>
      </w:pPr>
      <w:r w:rsidRPr="00E5596A">
        <w:rPr>
          <w:rFonts w:asciiTheme="minorBidi" w:hAnsiTheme="minorBidi"/>
          <w:b/>
          <w:bCs/>
        </w:rPr>
        <w:t>2 Building estimates from explicit assumptions</w:t>
      </w:r>
    </w:p>
    <w:p w14:paraId="37A61180"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lastRenderedPageBreak/>
        <w:t xml:space="preserve">Two conditional fault trees estimate separate outcomes. Quality failure means a delivered batch breaches its agreed safety, identity, condition or labelling specification. Supply failure means at least one customer commitment across the proposed network is delayed by more than </w:t>
      </w:r>
      <w:proofErr w:type="gramStart"/>
      <w:r w:rsidRPr="00E5596A">
        <w:rPr>
          <w:rFonts w:asciiTheme="minorBidi" w:hAnsiTheme="minorBidi"/>
        </w:rPr>
        <w:t>twenty four</w:t>
      </w:r>
      <w:proofErr w:type="gramEnd"/>
      <w:r w:rsidRPr="00E5596A">
        <w:rPr>
          <w:rFonts w:asciiTheme="minorBidi" w:hAnsiTheme="minorBidi"/>
        </w:rPr>
        <w:t xml:space="preserve"> hours during a calendar month. The different denominators must remain separate. Neither output estimates the probability that an individual royal customer experiences harm.</w:t>
      </w:r>
    </w:p>
    <w:p w14:paraId="78FA375C"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Fault trees connect identifiable failures to a defined outcome through transparent calculations (Kabir, 2017). Conditioning them on normal or stressed operations introduces a shared dependency without requiring an elaborate simulation. Quantitative approaches should fit the decision and evidence available (</w:t>
      </w:r>
      <w:proofErr w:type="spellStart"/>
      <w:r w:rsidRPr="00E5596A">
        <w:rPr>
          <w:rFonts w:asciiTheme="minorBidi" w:hAnsiTheme="minorBidi"/>
        </w:rPr>
        <w:t>Fahimnia</w:t>
      </w:r>
      <w:proofErr w:type="spellEnd"/>
      <w:r w:rsidRPr="00E5596A">
        <w:rPr>
          <w:rFonts w:asciiTheme="minorBidi" w:hAnsiTheme="minorBidi"/>
        </w:rPr>
        <w:t xml:space="preserve"> et al., 2015). An ordinal risk matrix cannot produce defensible probabilities, while Monte Carlo simulation would add computational detail without improving these unsupported inputs.</w:t>
      </w:r>
    </w:p>
    <w:p w14:paraId="322AB8C9"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The assumptions are explicit. First, the proposed operation experiences stressed conditions with probability 0.10 and normal conditions with probability 0.90. Stress represents simultaneous pressure from rapid scaling, unreliable information and transport congestion. For quality, these weights describe the operating conditions encountered by a randomly selected delivered batch; for supply, they describe months. Equal weights are a simplifying assumption, not an established relationship between those sampling units.</w:t>
      </w:r>
    </w:p>
    <w:p w14:paraId="2BFFD44F"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 xml:space="preserve">Second, quality probabilities under normal and stressed conditions respectively are ingredient contamination or substitution, 0.010 and 0.050; damaging storage conditions, 0.015 and 0.060; incorrect automated picking, 0.008 and 0.040; and corrupted batch or expiry information, 0.005 and 0.030. Each probability concerns a </w:t>
      </w:r>
      <w:r w:rsidRPr="00E5596A">
        <w:rPr>
          <w:rFonts w:asciiTheme="minorBidi" w:hAnsiTheme="minorBidi"/>
        </w:rPr>
        <w:lastRenderedPageBreak/>
        <w:t>failure remaining in the delivered batch after existing checks. Traceability supports verification and targeted withdrawal but cannot itself establish that ingredients are safe (Aung and Chang, 2014).</w:t>
      </w:r>
    </w:p>
    <w:p w14:paraId="108093A6"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 xml:space="preserve">Third, supply probabilities under normal and stressed conditions respectively are customs or transport delays, 0.060 and 0.250; supplier </w:t>
      </w:r>
      <w:proofErr w:type="spellStart"/>
      <w:r w:rsidRPr="00E5596A">
        <w:rPr>
          <w:rFonts w:asciiTheme="minorBidi" w:hAnsiTheme="minorBidi"/>
        </w:rPr>
        <w:t>nonperformance</w:t>
      </w:r>
      <w:proofErr w:type="spellEnd"/>
      <w:r w:rsidRPr="00E5596A">
        <w:rPr>
          <w:rFonts w:asciiTheme="minorBidi" w:hAnsiTheme="minorBidi"/>
        </w:rPr>
        <w:t xml:space="preserve">, 0.040 and 0.180; warehouse equipment or power interruption, 0.030 and 0.120; cyberattack or ordering integration failure, 0.020 and 0.100; and inventory misallocation, 0.015 and 0.080. These are network event probabilities, each already incorporating the defined delivery consequence; they must not be multiplied by warehouse numbers. Smart warehouse integration creates dependencies requiring both technical and organisational controls (van </w:t>
      </w:r>
      <w:proofErr w:type="spellStart"/>
      <w:r w:rsidRPr="00E5596A">
        <w:rPr>
          <w:rFonts w:asciiTheme="minorBidi" w:hAnsiTheme="minorBidi"/>
        </w:rPr>
        <w:t>Geest</w:t>
      </w:r>
      <w:proofErr w:type="spellEnd"/>
      <w:r w:rsidRPr="00E5596A">
        <w:rPr>
          <w:rFonts w:asciiTheme="minorBidi" w:hAnsiTheme="minorBidi"/>
        </w:rPr>
        <w:t xml:space="preserve">, </w:t>
      </w:r>
      <w:proofErr w:type="spellStart"/>
      <w:r w:rsidRPr="00E5596A">
        <w:rPr>
          <w:rFonts w:asciiTheme="minorBidi" w:hAnsiTheme="minorBidi"/>
        </w:rPr>
        <w:t>Tekinerdogan</w:t>
      </w:r>
      <w:proofErr w:type="spellEnd"/>
      <w:r w:rsidRPr="00E5596A">
        <w:rPr>
          <w:rFonts w:asciiTheme="minorBidi" w:hAnsiTheme="minorBidi"/>
        </w:rPr>
        <w:t xml:space="preserve"> and </w:t>
      </w:r>
      <w:proofErr w:type="spellStart"/>
      <w:r w:rsidRPr="00E5596A">
        <w:rPr>
          <w:rFonts w:asciiTheme="minorBidi" w:hAnsiTheme="minorBidi"/>
        </w:rPr>
        <w:t>Catal</w:t>
      </w:r>
      <w:proofErr w:type="spellEnd"/>
      <w:r w:rsidRPr="00E5596A">
        <w:rPr>
          <w:rFonts w:asciiTheme="minorBidi" w:hAnsiTheme="minorBidi"/>
        </w:rPr>
        <w:t>, 2022).</w:t>
      </w:r>
    </w:p>
    <w:p w14:paraId="2FACFC94"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 xml:space="preserve">Fourth, events are assumed independent within each operating condition, although their unconditional probabilities are dependent through stress. Either outcome occurs if any relevant event occurs. Event categories may overlap, so their probabilities cannot simply be added. Fifth, all numerical inputs are analyst assumptions selected for a transparent worked scenario. No incident dataset, supplier audit results, warehouse specifications or core </w:t>
      </w:r>
      <w:proofErr w:type="spellStart"/>
      <w:r w:rsidRPr="00E5596A">
        <w:rPr>
          <w:rFonts w:asciiTheme="minorBidi" w:hAnsiTheme="minorBidi"/>
        </w:rPr>
        <w:t>ebook</w:t>
      </w:r>
      <w:proofErr w:type="spellEnd"/>
      <w:r w:rsidRPr="00E5596A">
        <w:rPr>
          <w:rFonts w:asciiTheme="minorBidi" w:hAnsiTheme="minorBidi"/>
        </w:rPr>
        <w:t xml:space="preserve"> chapters were supplied. The literature informs mechanisms and methods, not these numerical rates.</w:t>
      </w:r>
    </w:p>
    <w:p w14:paraId="1A62993A"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For condition c, calculate the probability of no failure by multiplying every complement, then subtract that product from one: P(</w:t>
      </w:r>
      <w:proofErr w:type="spellStart"/>
      <w:r w:rsidRPr="00E5596A">
        <w:rPr>
          <w:rFonts w:asciiTheme="minorBidi" w:hAnsiTheme="minorBidi"/>
        </w:rPr>
        <w:t>F|</w:t>
      </w:r>
      <w:proofErr w:type="gramStart"/>
      <w:r w:rsidRPr="00E5596A">
        <w:rPr>
          <w:rFonts w:asciiTheme="minorBidi" w:hAnsiTheme="minorBidi"/>
        </w:rPr>
        <w:t>c</w:t>
      </w:r>
      <w:proofErr w:type="spellEnd"/>
      <w:r w:rsidRPr="00E5596A">
        <w:rPr>
          <w:rFonts w:asciiTheme="minorBidi" w:hAnsiTheme="minorBidi"/>
        </w:rPr>
        <w:t>)=</w:t>
      </w:r>
      <w:proofErr w:type="gramEnd"/>
      <w:r w:rsidRPr="00E5596A">
        <w:rPr>
          <w:rFonts w:asciiTheme="minorBidi" w:hAnsiTheme="minorBidi"/>
        </w:rPr>
        <w:t>1−Πᵢ[1−pᵢ(c)]. Average across conditions using P(F)=0.90P(</w:t>
      </w:r>
      <w:proofErr w:type="spellStart"/>
      <w:r w:rsidRPr="00E5596A">
        <w:rPr>
          <w:rFonts w:asciiTheme="minorBidi" w:hAnsiTheme="minorBidi"/>
        </w:rPr>
        <w:t>F|</w:t>
      </w:r>
      <w:proofErr w:type="gramStart"/>
      <w:r w:rsidRPr="00E5596A">
        <w:rPr>
          <w:rFonts w:asciiTheme="minorBidi" w:hAnsiTheme="minorBidi"/>
        </w:rPr>
        <w:t>normal</w:t>
      </w:r>
      <w:proofErr w:type="spellEnd"/>
      <w:r w:rsidRPr="00E5596A">
        <w:rPr>
          <w:rFonts w:asciiTheme="minorBidi" w:hAnsiTheme="minorBidi"/>
        </w:rPr>
        <w:t>)+</w:t>
      </w:r>
      <w:proofErr w:type="gramEnd"/>
      <w:r w:rsidRPr="00E5596A">
        <w:rPr>
          <w:rFonts w:asciiTheme="minorBidi" w:hAnsiTheme="minorBidi"/>
        </w:rPr>
        <w:t>0.10P(</w:t>
      </w:r>
      <w:proofErr w:type="spellStart"/>
      <w:r w:rsidRPr="00E5596A">
        <w:rPr>
          <w:rFonts w:asciiTheme="minorBidi" w:hAnsiTheme="minorBidi"/>
        </w:rPr>
        <w:t>F|stress</w:t>
      </w:r>
      <w:proofErr w:type="spellEnd"/>
      <w:r w:rsidRPr="00E5596A">
        <w:rPr>
          <w:rFonts w:asciiTheme="minorBidi" w:hAnsiTheme="minorBidi"/>
        </w:rPr>
        <w:t>). Calculate each individual event probability similarly as 0.90</w:t>
      </w:r>
      <w:proofErr w:type="gramStart"/>
      <w:r w:rsidRPr="00E5596A">
        <w:rPr>
          <w:rFonts w:asciiTheme="minorBidi" w:hAnsiTheme="minorBidi"/>
        </w:rPr>
        <w:t>pᵢ,normal</w:t>
      </w:r>
      <w:proofErr w:type="gramEnd"/>
      <w:r w:rsidRPr="00E5596A">
        <w:rPr>
          <w:rFonts w:asciiTheme="minorBidi" w:hAnsiTheme="minorBidi"/>
        </w:rPr>
        <w:t>+0.10</w:t>
      </w:r>
      <w:proofErr w:type="gramStart"/>
      <w:r w:rsidRPr="00E5596A">
        <w:rPr>
          <w:rFonts w:asciiTheme="minorBidi" w:hAnsiTheme="minorBidi"/>
        </w:rPr>
        <w:t>pᵢ,stress</w:t>
      </w:r>
      <w:proofErr w:type="gramEnd"/>
      <w:r w:rsidRPr="00E5596A">
        <w:rPr>
          <w:rFonts w:asciiTheme="minorBidi" w:hAnsiTheme="minorBidi"/>
        </w:rPr>
        <w:t>. Retain full precision until the final percentages.</w:t>
      </w:r>
    </w:p>
    <w:p w14:paraId="539D0948"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lastRenderedPageBreak/>
        <w:t>Calibration requires batch inspection denominators, complaints linked to batches, environmental sensor records, supplier delivery histories, customs timestamps, maintenance logs and security incident records. Record operating conditions alongside each observation. Validate completeness and distinguish missing records from successful outcomes before replacing assumptions with estimated frequencies.</w:t>
      </w:r>
    </w:p>
    <w:p w14:paraId="4A79E65F"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 xml:space="preserve">During the pilot, collect evidence separately for each supplier, warehouse and product category. Check whether the stress definition </w:t>
      </w:r>
      <w:proofErr w:type="gramStart"/>
      <w:r w:rsidRPr="00E5596A">
        <w:rPr>
          <w:rFonts w:asciiTheme="minorBidi" w:hAnsiTheme="minorBidi"/>
        </w:rPr>
        <w:t>actually distinguishes</w:t>
      </w:r>
      <w:proofErr w:type="gramEnd"/>
      <w:r w:rsidRPr="00E5596A">
        <w:rPr>
          <w:rFonts w:asciiTheme="minorBidi" w:hAnsiTheme="minorBidi"/>
        </w:rPr>
        <w:t xml:space="preserve"> failure rates. Pooling incompatible routes could hide dangerous concentrations. Small samples require uncertainty intervals and expert review before estimates inform binding customer commitments.</w:t>
      </w:r>
    </w:p>
    <w:p w14:paraId="4187B4D6" w14:textId="77777777" w:rsidR="00E5596A" w:rsidRPr="00E5596A" w:rsidRDefault="00E5596A" w:rsidP="00E5596A">
      <w:pPr>
        <w:spacing w:line="480" w:lineRule="auto"/>
        <w:jc w:val="both"/>
        <w:rPr>
          <w:rFonts w:asciiTheme="minorBidi" w:hAnsiTheme="minorBidi"/>
          <w:b/>
          <w:bCs/>
        </w:rPr>
      </w:pPr>
      <w:r w:rsidRPr="00E5596A">
        <w:rPr>
          <w:rFonts w:asciiTheme="minorBidi" w:hAnsiTheme="minorBidi"/>
          <w:b/>
          <w:bCs/>
        </w:rPr>
        <w:t>3 Interpreting exposure and testing improvements</w:t>
      </w:r>
    </w:p>
    <w:p w14:paraId="0E3145EB"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For quality, the normal calculation is 1−(0.990×0.985×0.992×0.</w:t>
      </w:r>
      <w:proofErr w:type="gramStart"/>
      <w:r w:rsidRPr="00E5596A">
        <w:rPr>
          <w:rFonts w:asciiTheme="minorBidi" w:hAnsiTheme="minorBidi"/>
        </w:rPr>
        <w:t>995)=</w:t>
      </w:r>
      <w:proofErr w:type="gramEnd"/>
      <w:r w:rsidRPr="00E5596A">
        <w:rPr>
          <w:rFonts w:asciiTheme="minorBidi" w:hAnsiTheme="minorBidi"/>
        </w:rPr>
        <w:t>0.037487944; the stressed calculation is 1−(0.950×0.940×0.960×0.</w:t>
      </w:r>
      <w:proofErr w:type="gramStart"/>
      <w:r w:rsidRPr="00E5596A">
        <w:rPr>
          <w:rFonts w:asciiTheme="minorBidi" w:hAnsiTheme="minorBidi"/>
        </w:rPr>
        <w:t>970)=</w:t>
      </w:r>
      <w:proofErr w:type="gramEnd"/>
      <w:r w:rsidRPr="00E5596A">
        <w:rPr>
          <w:rFonts w:asciiTheme="minorBidi" w:hAnsiTheme="minorBidi"/>
        </w:rPr>
        <w:t>0.168438400. Weighting gives 0.0505829896, or 5.06% per delivered batch. The individual marginal probabilities are contamination or substitution, 1.40%; damaging storage, 1.95%; picking error, 1.12%; and corrupted batch information, 0.75%. These overlapping outcomes sum to more than the combined probability.</w:t>
      </w:r>
    </w:p>
    <w:p w14:paraId="1354097D"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For supply, the normal calculation is 1−(0.940×0.960×0.970×0.980×0.</w:t>
      </w:r>
      <w:proofErr w:type="gramStart"/>
      <w:r w:rsidRPr="00E5596A">
        <w:rPr>
          <w:rFonts w:asciiTheme="minorBidi" w:hAnsiTheme="minorBidi"/>
        </w:rPr>
        <w:t>985)=</w:t>
      </w:r>
      <w:proofErr w:type="gramEnd"/>
      <w:r w:rsidRPr="00E5596A">
        <w:rPr>
          <w:rFonts w:asciiTheme="minorBidi" w:hAnsiTheme="minorBidi"/>
        </w:rPr>
        <w:t>0.1550458816; under stress it is 1−(0.750×0.820×0.880×0.900×0.</w:t>
      </w:r>
      <w:proofErr w:type="gramStart"/>
      <w:r w:rsidRPr="00E5596A">
        <w:rPr>
          <w:rFonts w:asciiTheme="minorBidi" w:hAnsiTheme="minorBidi"/>
        </w:rPr>
        <w:t>920)=</w:t>
      </w:r>
      <w:proofErr w:type="gramEnd"/>
      <w:r w:rsidRPr="00E5596A">
        <w:rPr>
          <w:rFonts w:asciiTheme="minorBidi" w:hAnsiTheme="minorBidi"/>
        </w:rPr>
        <w:t xml:space="preserve">0.551886400. Weighting produces 19.47% per month. The associated issue probabilities are customs or transport delay, 7.90%; supplier </w:t>
      </w:r>
      <w:proofErr w:type="spellStart"/>
      <w:r w:rsidRPr="00E5596A">
        <w:rPr>
          <w:rFonts w:asciiTheme="minorBidi" w:hAnsiTheme="minorBidi"/>
        </w:rPr>
        <w:t>nonperformance</w:t>
      </w:r>
      <w:proofErr w:type="spellEnd"/>
      <w:r w:rsidRPr="00E5596A">
        <w:rPr>
          <w:rFonts w:asciiTheme="minorBidi" w:hAnsiTheme="minorBidi"/>
        </w:rPr>
        <w:t>, 5.40%; equipment or power interruption, 3.90%; cyberattack or integration failure, 2.80%; and inventory misallocation, 2.15%. These are probabilities of qualifying events, not percentages of orders lost.</w:t>
      </w:r>
    </w:p>
    <w:p w14:paraId="19FCADF8"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lastRenderedPageBreak/>
        <w:t>Storage is the largest modelled quality contributor, supporting calibrated sensors, independent threshold alarms and quarantine after excursions. Approved ingredient specifications, supplier sampling and independent release checks address contamination. Barcode verification should match product, destination, batch and expiry before dispatch. Changes to product master records require separate approval. These measures should apply to ordinary customers and royal households equally.</w:t>
      </w:r>
    </w:p>
    <w:p w14:paraId="0DAAC75B"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Transport dominates the supply estimates. Prioritise documented customs preparation, alternative routes and supplier agreements defining evidence, substitution restrictions and escalation times. Place buffer stock where shelf life and demand justify it. Retain qualified alternative suppliers with different upstream dependencies. Resilience combines preparedness, response and recovery rather than relying solely on spare capacity (</w:t>
      </w:r>
      <w:proofErr w:type="spellStart"/>
      <w:r w:rsidRPr="00E5596A">
        <w:rPr>
          <w:rFonts w:asciiTheme="minorBidi" w:hAnsiTheme="minorBidi"/>
        </w:rPr>
        <w:t>Kamalahmadi</w:t>
      </w:r>
      <w:proofErr w:type="spellEnd"/>
      <w:r w:rsidRPr="00E5596A">
        <w:rPr>
          <w:rFonts w:asciiTheme="minorBidi" w:hAnsiTheme="minorBidi"/>
        </w:rPr>
        <w:t xml:space="preserve"> and </w:t>
      </w:r>
      <w:proofErr w:type="spellStart"/>
      <w:r w:rsidRPr="00E5596A">
        <w:rPr>
          <w:rFonts w:asciiTheme="minorBidi" w:hAnsiTheme="minorBidi"/>
        </w:rPr>
        <w:t>Parast</w:t>
      </w:r>
      <w:proofErr w:type="spellEnd"/>
      <w:r w:rsidRPr="00E5596A">
        <w:rPr>
          <w:rFonts w:asciiTheme="minorBidi" w:hAnsiTheme="minorBidi"/>
        </w:rPr>
        <w:t>, 2016).</w:t>
      </w:r>
    </w:p>
    <w:p w14:paraId="6BAEB3BD"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Sensitivity analysis varies only the stress weight from 0.05 to 0.20. Quality exposure then ranges from 4.40% to 6.37%, and supply exposure from 17.49% to 23.44%. These are scenario ranges, not statistical confidence intervals. Remaining dependence within conditions could materially alter the estimates, and unmodelled hazards could increase exposure.</w:t>
      </w:r>
    </w:p>
    <w:p w14:paraId="28325704"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 xml:space="preserve">An improvement scenario halves every conditional event probability and reduces the stress weight to 0.05. Repeating the same calculations gives 2.23% quality exposure and 9.18% monthly supply exposure. These figures quantify assumed improvement, not proven control effectiveness. Financial losses cannot be calculated responsibly without volumes, margins, spoilage values and disruption costs. Cathy should require those inputs before comparing investment returns. Product safety remains the </w:t>
      </w:r>
      <w:proofErr w:type="gramStart"/>
      <w:r w:rsidRPr="00E5596A">
        <w:rPr>
          <w:rFonts w:asciiTheme="minorBidi" w:hAnsiTheme="minorBidi"/>
        </w:rPr>
        <w:t xml:space="preserve">first </w:t>
      </w:r>
      <w:r w:rsidRPr="00E5596A">
        <w:rPr>
          <w:rFonts w:asciiTheme="minorBidi" w:hAnsiTheme="minorBidi"/>
        </w:rPr>
        <w:lastRenderedPageBreak/>
        <w:t>priority</w:t>
      </w:r>
      <w:proofErr w:type="gramEnd"/>
      <w:r w:rsidRPr="00E5596A">
        <w:rPr>
          <w:rFonts w:asciiTheme="minorBidi" w:hAnsiTheme="minorBidi"/>
        </w:rPr>
        <w:t xml:space="preserve"> even where another event has greater frequency, because severe harm cannot be judged through probability alone.</w:t>
      </w:r>
    </w:p>
    <w:p w14:paraId="2E4109F3"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Even the improved quality estimate is not an acceptable safety threshold. Separate cosmetic nonconformities from hazards during validation and set acceptance criteria by consequence. The model supports prioritisation; it cannot authorise releasing a suspect batch or replace competent product safety assessment and independent verification.</w:t>
      </w:r>
    </w:p>
    <w:p w14:paraId="10276C6C" w14:textId="77777777" w:rsidR="00E5596A" w:rsidRPr="00E5596A" w:rsidRDefault="00E5596A" w:rsidP="00E5596A">
      <w:pPr>
        <w:spacing w:line="480" w:lineRule="auto"/>
        <w:jc w:val="both"/>
        <w:rPr>
          <w:rFonts w:asciiTheme="minorBidi" w:hAnsiTheme="minorBidi"/>
          <w:b/>
          <w:bCs/>
        </w:rPr>
      </w:pPr>
      <w:r w:rsidRPr="00E5596A">
        <w:rPr>
          <w:rFonts w:asciiTheme="minorBidi" w:hAnsiTheme="minorBidi"/>
          <w:b/>
          <w:bCs/>
        </w:rPr>
        <w:t>4 Keeping the shop available beyond its premises</w:t>
      </w:r>
    </w:p>
    <w:p w14:paraId="5377271A"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Host the online service on Amazon Web Services with a contractually accountable specialist operations provider responsible for 24/7/365 monitoring and recovery. The proposed architecture places active application instances in two geographically separate regions, with capacity reserved to carry the full workload in either. Neither region depends on equipment, connectivity or staff being physically present at the shop. A premises disaster therefore requires no migration of the online service. Staff use secured replacement devices and independently stored recovery credentials.</w:t>
      </w:r>
    </w:p>
    <w:p w14:paraId="1D23EF4F"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Select AWS for its regional infrastructure and supporting security services, subject to a priced comparison against Azure and the supplier's demonstrated competence. For this small business, operating capability matters more than service count. Cloud availability requires coordination across application and data layers; infrastructure replication alone does not establish service continuity (Endo et al., 2016).</w:t>
      </w:r>
    </w:p>
    <w:p w14:paraId="06A05B88"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 xml:space="preserve">Use portable application containers and a professionally operated PostgreSQL deployment. Keep one authoritative database writer with synchronous replication to the second region. Acknowledge orders only after their transaction records are durably committed in both regions. Store critical order events and inventory reservations </w:t>
      </w:r>
      <w:r w:rsidRPr="00E5596A">
        <w:rPr>
          <w:rFonts w:asciiTheme="minorBidi" w:hAnsiTheme="minorBidi"/>
        </w:rPr>
        <w:lastRenderedPageBreak/>
        <w:t>transactionally; use unique request identifiers to prevent duplicate orders or charges after retries. Payment status must be reconciled with the external payment provider. Catalogue assets must already exist in both regions before publication.</w:t>
      </w:r>
    </w:p>
    <w:p w14:paraId="50E41BDD"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 xml:space="preserve">Automatic recovery requires independent health checks, </w:t>
      </w:r>
      <w:proofErr w:type="gramStart"/>
      <w:r w:rsidRPr="00E5596A">
        <w:rPr>
          <w:rFonts w:asciiTheme="minorBidi" w:hAnsiTheme="minorBidi"/>
        </w:rPr>
        <w:t>quorum based</w:t>
      </w:r>
      <w:proofErr w:type="gramEnd"/>
      <w:r w:rsidRPr="00E5596A">
        <w:rPr>
          <w:rFonts w:asciiTheme="minorBidi" w:hAnsiTheme="minorBidi"/>
        </w:rPr>
        <w:t xml:space="preserve"> leadership and fencing that prevents an isolated former writer accepting updates. Route traffic through health aware global entry points rather than relying solely on cached DNS changes. Existing sessions must recover without depending on local server memory. Reserve a proposed recovery budget of ten seconds for detection, fifteen for fencing and database promotion, fifteen for traffic and connection recovery, and five for transaction validation: </w:t>
      </w:r>
      <w:proofErr w:type="gramStart"/>
      <w:r w:rsidRPr="00E5596A">
        <w:rPr>
          <w:rFonts w:asciiTheme="minorBidi" w:hAnsiTheme="minorBidi"/>
        </w:rPr>
        <w:t>forty five</w:t>
      </w:r>
      <w:proofErr w:type="gramEnd"/>
      <w:r w:rsidRPr="00E5596A">
        <w:rPr>
          <w:rFonts w:asciiTheme="minorBidi" w:hAnsiTheme="minorBidi"/>
        </w:rPr>
        <w:t xml:space="preserve"> seconds overall.</w:t>
      </w:r>
    </w:p>
    <w:p w14:paraId="5A0DD49C"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This budget is an acceptance target, not a vendor guarantee. Measure recovery time from actual service interruption until successful customer transactions resume. Measure recovery point as the age of the newest unrecoverable acknowledged transaction. Synchronous commitment targets zero loss for the specified single region failure, satisfying the maximum sixty second data loss requirement. The recovery time must remain strictly below sixty seconds under peak load. Network partitions may require suspending writes to preserve consistency; simultaneous regional failures fall outside this design's assured scope.</w:t>
      </w:r>
    </w:p>
    <w:p w14:paraId="5FA25104"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Maintain immutable backups in a separately administered account and rehearse clean restoration after malicious corruption. Replication can copy corruption, so infrastructure failover and cyber recovery need different procedures. Clean restoration may exceed one minute and must not be represented as meeting the physical disaster target. Test premises loss, regional isolation, credential unavailability and payment reconciliation quarterly, with recorded transaction evidence and escalation ownership.</w:t>
      </w:r>
    </w:p>
    <w:p w14:paraId="710AF951"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lastRenderedPageBreak/>
        <w:t xml:space="preserve">Vendor dependence remains a commercial risk even with portable software (Opara-Martins, </w:t>
      </w:r>
      <w:proofErr w:type="spellStart"/>
      <w:r w:rsidRPr="00E5596A">
        <w:rPr>
          <w:rFonts w:asciiTheme="minorBidi" w:hAnsiTheme="minorBidi"/>
        </w:rPr>
        <w:t>Sahandi</w:t>
      </w:r>
      <w:proofErr w:type="spellEnd"/>
      <w:r w:rsidRPr="00E5596A">
        <w:rPr>
          <w:rFonts w:asciiTheme="minorBidi" w:hAnsiTheme="minorBidi"/>
        </w:rPr>
        <w:t xml:space="preserve"> and Tian, 2016). Require standard database exports, documented configurations, contractual exit assistance and transparent transfer charges. Rehearse restoration on another provider annually. This exit capability supports negotiation and </w:t>
      </w:r>
      <w:proofErr w:type="gramStart"/>
      <w:r w:rsidRPr="00E5596A">
        <w:rPr>
          <w:rFonts w:asciiTheme="minorBidi" w:hAnsiTheme="minorBidi"/>
        </w:rPr>
        <w:t>long term</w:t>
      </w:r>
      <w:proofErr w:type="gramEnd"/>
      <w:r w:rsidRPr="00E5596A">
        <w:rPr>
          <w:rFonts w:asciiTheme="minorBidi" w:hAnsiTheme="minorBidi"/>
        </w:rPr>
        <w:t xml:space="preserve"> continuity; it is separate from the immediate recovery mechanism. Budget for duplicate capacity, specialist support and exercises before committing to expansion.</w:t>
      </w:r>
    </w:p>
    <w:p w14:paraId="4D0B83B9" w14:textId="77777777" w:rsidR="00E5596A" w:rsidRPr="00E5596A" w:rsidRDefault="00E5596A" w:rsidP="00E5596A">
      <w:pPr>
        <w:spacing w:line="480" w:lineRule="auto"/>
        <w:jc w:val="both"/>
        <w:rPr>
          <w:rFonts w:asciiTheme="minorBidi" w:hAnsiTheme="minorBidi"/>
          <w:b/>
          <w:bCs/>
        </w:rPr>
      </w:pPr>
      <w:r w:rsidRPr="00E5596A">
        <w:rPr>
          <w:rFonts w:asciiTheme="minorBidi" w:hAnsiTheme="minorBidi"/>
          <w:b/>
          <w:bCs/>
        </w:rPr>
        <w:t>5 Making assurance a condition of trading</w:t>
      </w:r>
    </w:p>
    <w:p w14:paraId="4DC92E3E"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Priority one is product protection. Before accepting expanded orders, Cathy should appoint a quality owner with authority to quarantine stock and suspend dispatch. Require supplier qualification, verified batch records and a successful recall exercise. Release criteria must cover both safety and the distinctive quality customers purchase. A failed check should stop delivery rather than trigger an undocumented substitution.</w:t>
      </w:r>
    </w:p>
    <w:p w14:paraId="39FFD8CA"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Priority two is secure, lawful processing. Establish an information security management system aligned with ISO/IEC 27001:2022 and select controls using ISO/IEC 27002:2022. Current compliance cannot be claimed from the earlier qualitative assessment. Require an asset inventory, access review, tested incident response and documented evidence that important controls operate. Separate warehouse control networks from customer services; enforce multifactor authentication, least privilege, encrypted communications, protected keys and monitored administrative changes.</w:t>
      </w:r>
    </w:p>
    <w:p w14:paraId="272C962D"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 xml:space="preserve">GDPR is a regulation, applicable since 2018, rather than a new directive. Determine territorial applicability from establishment and processing activities, including relevant targeting of people in the EU; customer nationality alone is insufficient. Apply UK data </w:t>
      </w:r>
      <w:r w:rsidRPr="00E5596A">
        <w:rPr>
          <w:rFonts w:asciiTheme="minorBidi" w:hAnsiTheme="minorBidi"/>
        </w:rPr>
        <w:lastRenderedPageBreak/>
        <w:t>protection requirements where relevant. Document lawful purposes, minimise customer information, set retention periods and sign processor agreements. Assess international transfers, including overseas support access, and use appropriate safeguards where required. Privacy obligations require organisational changes alongside technical measures (</w:t>
      </w:r>
      <w:proofErr w:type="spellStart"/>
      <w:r w:rsidRPr="00E5596A">
        <w:rPr>
          <w:rFonts w:asciiTheme="minorBidi" w:hAnsiTheme="minorBidi"/>
        </w:rPr>
        <w:t>Tikkinen</w:t>
      </w:r>
      <w:proofErr w:type="spellEnd"/>
      <w:r w:rsidRPr="00E5596A">
        <w:rPr>
          <w:rFonts w:asciiTheme="minorBidi" w:hAnsiTheme="minorBidi"/>
        </w:rPr>
        <w:t xml:space="preserve">-Piri, </w:t>
      </w:r>
      <w:proofErr w:type="spellStart"/>
      <w:r w:rsidRPr="00E5596A">
        <w:rPr>
          <w:rFonts w:asciiTheme="minorBidi" w:hAnsiTheme="minorBidi"/>
        </w:rPr>
        <w:t>Rohunen</w:t>
      </w:r>
      <w:proofErr w:type="spellEnd"/>
      <w:r w:rsidRPr="00E5596A">
        <w:rPr>
          <w:rFonts w:asciiTheme="minorBidi" w:hAnsiTheme="minorBidi"/>
        </w:rPr>
        <w:t xml:space="preserve"> and Markkula, 2018).</w:t>
      </w:r>
    </w:p>
    <w:p w14:paraId="7489F930"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 xml:space="preserve">Assess whether processing requires a data protection impact assessment. Maintain breach records and notify the competent authority without undue delay and, where feasible, within </w:t>
      </w:r>
      <w:proofErr w:type="gramStart"/>
      <w:r w:rsidRPr="00E5596A">
        <w:rPr>
          <w:rFonts w:asciiTheme="minorBidi" w:hAnsiTheme="minorBidi"/>
        </w:rPr>
        <w:t>seventy two</w:t>
      </w:r>
      <w:proofErr w:type="gramEnd"/>
      <w:r w:rsidRPr="00E5596A">
        <w:rPr>
          <w:rFonts w:asciiTheme="minorBidi" w:hAnsiTheme="minorBidi"/>
        </w:rPr>
        <w:t xml:space="preserve"> hours of awareness unless risk to individuals is unlikely. Inform affected individuals without undue delay where high risk requires it. Protect royal delivery details through restricted access without denying ordinary customers equivalent privacy safeguards.</w:t>
      </w:r>
    </w:p>
    <w:p w14:paraId="6C299328"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 xml:space="preserve">Priority three is dependable trading capacity. The operations owner should validate alternative supply </w:t>
      </w:r>
      <w:proofErr w:type="gramStart"/>
      <w:r w:rsidRPr="00E5596A">
        <w:rPr>
          <w:rFonts w:asciiTheme="minorBidi" w:hAnsiTheme="minorBidi"/>
        </w:rPr>
        <w:t>routes</w:t>
      </w:r>
      <w:proofErr w:type="gramEnd"/>
      <w:r w:rsidRPr="00E5596A">
        <w:rPr>
          <w:rFonts w:asciiTheme="minorBidi" w:hAnsiTheme="minorBidi"/>
        </w:rPr>
        <w:t xml:space="preserve"> and the technology provider should demonstrate the recovery targets before launch. Assign deputies. Review quality failures, delayed commitments, replication health and recovery tests monthly. Expand only after Cathy signs an </w:t>
      </w:r>
      <w:proofErr w:type="gramStart"/>
      <w:r w:rsidRPr="00E5596A">
        <w:rPr>
          <w:rFonts w:asciiTheme="minorBidi" w:hAnsiTheme="minorBidi"/>
        </w:rPr>
        <w:t>evidence based</w:t>
      </w:r>
      <w:proofErr w:type="gramEnd"/>
      <w:r w:rsidRPr="00E5596A">
        <w:rPr>
          <w:rFonts w:asciiTheme="minorBidi" w:hAnsiTheme="minorBidi"/>
        </w:rPr>
        <w:t xml:space="preserve"> acceptance of residual risks and confirms that expected contribution covers controls, recovery capacity and working capital. Any safety breach or failed recovery exercise should suspend further expansion until corrective action is verified.</w:t>
      </w:r>
    </w:p>
    <w:p w14:paraId="6DDE60F2" w14:textId="77777777" w:rsidR="008010D2" w:rsidRDefault="008010D2" w:rsidP="00E5596A">
      <w:pPr>
        <w:spacing w:line="480" w:lineRule="auto"/>
        <w:jc w:val="both"/>
        <w:rPr>
          <w:rFonts w:asciiTheme="minorBidi" w:hAnsiTheme="minorBidi"/>
        </w:rPr>
      </w:pPr>
    </w:p>
    <w:p w14:paraId="14E8E560" w14:textId="77777777" w:rsidR="00E5596A" w:rsidRDefault="00E5596A" w:rsidP="00E5596A">
      <w:pPr>
        <w:spacing w:line="480" w:lineRule="auto"/>
        <w:jc w:val="both"/>
        <w:rPr>
          <w:rFonts w:asciiTheme="minorBidi" w:hAnsiTheme="minorBidi"/>
        </w:rPr>
      </w:pPr>
    </w:p>
    <w:p w14:paraId="33FC0D02" w14:textId="77777777" w:rsidR="00E5596A" w:rsidRDefault="00E5596A" w:rsidP="00E5596A">
      <w:pPr>
        <w:spacing w:line="480" w:lineRule="auto"/>
        <w:jc w:val="both"/>
        <w:rPr>
          <w:rFonts w:asciiTheme="minorBidi" w:hAnsiTheme="minorBidi"/>
        </w:rPr>
      </w:pPr>
    </w:p>
    <w:p w14:paraId="7CDE65E7" w14:textId="77777777" w:rsidR="00E5596A" w:rsidRDefault="00E5596A" w:rsidP="00E5596A">
      <w:pPr>
        <w:spacing w:line="480" w:lineRule="auto"/>
        <w:jc w:val="both"/>
        <w:rPr>
          <w:rFonts w:asciiTheme="minorBidi" w:hAnsiTheme="minorBidi"/>
        </w:rPr>
      </w:pPr>
    </w:p>
    <w:p w14:paraId="23D7C063" w14:textId="77777777" w:rsidR="00E5596A" w:rsidRDefault="00E5596A" w:rsidP="00E5596A">
      <w:pPr>
        <w:spacing w:line="480" w:lineRule="auto"/>
        <w:jc w:val="both"/>
        <w:rPr>
          <w:rFonts w:asciiTheme="minorBidi" w:hAnsiTheme="minorBidi"/>
        </w:rPr>
      </w:pPr>
    </w:p>
    <w:p w14:paraId="394F3211" w14:textId="340707F5" w:rsidR="00E5596A" w:rsidRPr="00E5596A" w:rsidRDefault="00E5596A" w:rsidP="00E5596A">
      <w:pPr>
        <w:spacing w:line="480" w:lineRule="auto"/>
        <w:jc w:val="both"/>
        <w:rPr>
          <w:rFonts w:asciiTheme="minorBidi" w:hAnsiTheme="minorBidi"/>
          <w:b/>
          <w:bCs/>
        </w:rPr>
      </w:pPr>
      <w:r w:rsidRPr="00E5596A">
        <w:rPr>
          <w:rFonts w:asciiTheme="minorBidi" w:hAnsiTheme="minorBidi"/>
          <w:b/>
          <w:bCs/>
        </w:rPr>
        <w:lastRenderedPageBreak/>
        <w:t>References</w:t>
      </w:r>
    </w:p>
    <w:p w14:paraId="3DD331B8"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 xml:space="preserve">Aung, M.M. and Chang, Y.S. (2014) ‘Traceability in a food supply chain: Safety and quality perspectives’, </w:t>
      </w:r>
      <w:r w:rsidRPr="00E5596A">
        <w:rPr>
          <w:rFonts w:asciiTheme="minorBidi" w:hAnsiTheme="minorBidi"/>
          <w:i/>
          <w:iCs/>
        </w:rPr>
        <w:t>Food Control</w:t>
      </w:r>
      <w:r w:rsidRPr="00E5596A">
        <w:rPr>
          <w:rFonts w:asciiTheme="minorBidi" w:hAnsiTheme="minorBidi"/>
        </w:rPr>
        <w:t xml:space="preserve">, 39, pp. 172–184. </w:t>
      </w:r>
      <w:hyperlink r:id="rId6" w:history="1">
        <w:proofErr w:type="gramStart"/>
        <w:r w:rsidRPr="00E5596A">
          <w:rPr>
            <w:rStyle w:val="Hyperlink"/>
            <w:rFonts w:asciiTheme="minorBidi" w:hAnsiTheme="minorBidi"/>
          </w:rPr>
          <w:t>doi:10.1016/j.foodcont</w:t>
        </w:r>
        <w:proofErr w:type="gramEnd"/>
        <w:r w:rsidRPr="00E5596A">
          <w:rPr>
            <w:rStyle w:val="Hyperlink"/>
            <w:rFonts w:asciiTheme="minorBidi" w:hAnsiTheme="minorBidi"/>
          </w:rPr>
          <w:t>.2013.11.007</w:t>
        </w:r>
      </w:hyperlink>
      <w:r w:rsidRPr="00E5596A">
        <w:rPr>
          <w:rFonts w:asciiTheme="minorBidi" w:hAnsiTheme="minorBidi"/>
        </w:rPr>
        <w:t>.</w:t>
      </w:r>
    </w:p>
    <w:p w14:paraId="6A2728BF"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 xml:space="preserve">Endo, P.T., Rodrigues, M., Gonçalves, G.E., Kelner, J., Sadok, D.H. and </w:t>
      </w:r>
      <w:proofErr w:type="spellStart"/>
      <w:r w:rsidRPr="00E5596A">
        <w:rPr>
          <w:rFonts w:asciiTheme="minorBidi" w:hAnsiTheme="minorBidi"/>
        </w:rPr>
        <w:t>Curescu</w:t>
      </w:r>
      <w:proofErr w:type="spellEnd"/>
      <w:r w:rsidRPr="00E5596A">
        <w:rPr>
          <w:rFonts w:asciiTheme="minorBidi" w:hAnsiTheme="minorBidi"/>
        </w:rPr>
        <w:t xml:space="preserve">, C. (2016) ‘High availability in clouds: systematic review and research challenges’, </w:t>
      </w:r>
      <w:r w:rsidRPr="00E5596A">
        <w:rPr>
          <w:rFonts w:asciiTheme="minorBidi" w:hAnsiTheme="minorBidi"/>
          <w:i/>
          <w:iCs/>
        </w:rPr>
        <w:t>Journal of Cloud Computing</w:t>
      </w:r>
      <w:r w:rsidRPr="00E5596A">
        <w:rPr>
          <w:rFonts w:asciiTheme="minorBidi" w:hAnsiTheme="minorBidi"/>
        </w:rPr>
        <w:t xml:space="preserve">, 5, article 16. </w:t>
      </w:r>
      <w:hyperlink r:id="rId7" w:history="1">
        <w:r w:rsidRPr="00E5596A">
          <w:rPr>
            <w:rStyle w:val="Hyperlink"/>
            <w:rFonts w:asciiTheme="minorBidi" w:hAnsiTheme="minorBidi"/>
          </w:rPr>
          <w:t>doi:10.1186/s13677-016-0066-8</w:t>
        </w:r>
      </w:hyperlink>
      <w:r w:rsidRPr="00E5596A">
        <w:rPr>
          <w:rFonts w:asciiTheme="minorBidi" w:hAnsiTheme="minorBidi"/>
        </w:rPr>
        <w:t>.</w:t>
      </w:r>
    </w:p>
    <w:p w14:paraId="7B531D78" w14:textId="77777777" w:rsidR="00E5596A" w:rsidRPr="00E5596A" w:rsidRDefault="00E5596A" w:rsidP="00E5596A">
      <w:pPr>
        <w:spacing w:line="480" w:lineRule="auto"/>
        <w:jc w:val="both"/>
        <w:rPr>
          <w:rFonts w:asciiTheme="minorBidi" w:hAnsiTheme="minorBidi"/>
        </w:rPr>
      </w:pPr>
      <w:proofErr w:type="spellStart"/>
      <w:r w:rsidRPr="00E5596A">
        <w:rPr>
          <w:rFonts w:asciiTheme="minorBidi" w:hAnsiTheme="minorBidi"/>
        </w:rPr>
        <w:t>Fahimnia</w:t>
      </w:r>
      <w:proofErr w:type="spellEnd"/>
      <w:r w:rsidRPr="00E5596A">
        <w:rPr>
          <w:rFonts w:asciiTheme="minorBidi" w:hAnsiTheme="minorBidi"/>
        </w:rPr>
        <w:t xml:space="preserve">, B., Tang, C.S., Davarzani, H. and Sarkis, J. (2015) ‘Quantitative models for managing supply chain risks: A review’, </w:t>
      </w:r>
      <w:r w:rsidRPr="00E5596A">
        <w:rPr>
          <w:rFonts w:asciiTheme="minorBidi" w:hAnsiTheme="minorBidi"/>
          <w:i/>
          <w:iCs/>
        </w:rPr>
        <w:t>European Journal of Operational Research</w:t>
      </w:r>
      <w:r w:rsidRPr="00E5596A">
        <w:rPr>
          <w:rFonts w:asciiTheme="minorBidi" w:hAnsiTheme="minorBidi"/>
        </w:rPr>
        <w:t xml:space="preserve">, 247(1), pp. 1–15. </w:t>
      </w:r>
      <w:hyperlink r:id="rId8" w:history="1">
        <w:proofErr w:type="gramStart"/>
        <w:r w:rsidRPr="00E5596A">
          <w:rPr>
            <w:rStyle w:val="Hyperlink"/>
            <w:rFonts w:asciiTheme="minorBidi" w:hAnsiTheme="minorBidi"/>
          </w:rPr>
          <w:t>doi:10.1016/j.ejor</w:t>
        </w:r>
        <w:proofErr w:type="gramEnd"/>
        <w:r w:rsidRPr="00E5596A">
          <w:rPr>
            <w:rStyle w:val="Hyperlink"/>
            <w:rFonts w:asciiTheme="minorBidi" w:hAnsiTheme="minorBidi"/>
          </w:rPr>
          <w:t>.2015.04.034</w:t>
        </w:r>
      </w:hyperlink>
      <w:r w:rsidRPr="00E5596A">
        <w:rPr>
          <w:rFonts w:asciiTheme="minorBidi" w:hAnsiTheme="minorBidi"/>
        </w:rPr>
        <w:t>.</w:t>
      </w:r>
    </w:p>
    <w:p w14:paraId="3E9E8EFD"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 xml:space="preserve">Heckmann, I., Comes, T. and Nickel, S. (2015) ‘A critical review on supply chain risk – Definition, measure and </w:t>
      </w:r>
      <w:proofErr w:type="spellStart"/>
      <w:r w:rsidRPr="00E5596A">
        <w:rPr>
          <w:rFonts w:asciiTheme="minorBidi" w:hAnsiTheme="minorBidi"/>
        </w:rPr>
        <w:t>modeling</w:t>
      </w:r>
      <w:proofErr w:type="spellEnd"/>
      <w:r w:rsidRPr="00E5596A">
        <w:rPr>
          <w:rFonts w:asciiTheme="minorBidi" w:hAnsiTheme="minorBidi"/>
        </w:rPr>
        <w:t xml:space="preserve">’, </w:t>
      </w:r>
      <w:r w:rsidRPr="00E5596A">
        <w:rPr>
          <w:rFonts w:asciiTheme="minorBidi" w:hAnsiTheme="minorBidi"/>
          <w:i/>
          <w:iCs/>
        </w:rPr>
        <w:t>Omega</w:t>
      </w:r>
      <w:r w:rsidRPr="00E5596A">
        <w:rPr>
          <w:rFonts w:asciiTheme="minorBidi" w:hAnsiTheme="minorBidi"/>
        </w:rPr>
        <w:t xml:space="preserve">, 52, pp. 119–132. </w:t>
      </w:r>
      <w:hyperlink r:id="rId9" w:history="1">
        <w:proofErr w:type="gramStart"/>
        <w:r w:rsidRPr="00E5596A">
          <w:rPr>
            <w:rStyle w:val="Hyperlink"/>
            <w:rFonts w:asciiTheme="minorBidi" w:hAnsiTheme="minorBidi"/>
          </w:rPr>
          <w:t>doi:10.1016/j.omega</w:t>
        </w:r>
        <w:proofErr w:type="gramEnd"/>
        <w:r w:rsidRPr="00E5596A">
          <w:rPr>
            <w:rStyle w:val="Hyperlink"/>
            <w:rFonts w:asciiTheme="minorBidi" w:hAnsiTheme="minorBidi"/>
          </w:rPr>
          <w:t>.2014.10.004</w:t>
        </w:r>
      </w:hyperlink>
      <w:r w:rsidRPr="00E5596A">
        <w:rPr>
          <w:rFonts w:asciiTheme="minorBidi" w:hAnsiTheme="minorBidi"/>
        </w:rPr>
        <w:t>.</w:t>
      </w:r>
    </w:p>
    <w:p w14:paraId="63E04644"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 xml:space="preserve">Ivanov, D. and </w:t>
      </w:r>
      <w:proofErr w:type="spellStart"/>
      <w:r w:rsidRPr="00E5596A">
        <w:rPr>
          <w:rFonts w:asciiTheme="minorBidi" w:hAnsiTheme="minorBidi"/>
        </w:rPr>
        <w:t>Dolgui</w:t>
      </w:r>
      <w:proofErr w:type="spellEnd"/>
      <w:r w:rsidRPr="00E5596A">
        <w:rPr>
          <w:rFonts w:asciiTheme="minorBidi" w:hAnsiTheme="minorBidi"/>
        </w:rPr>
        <w:t xml:space="preserve">, A. (2020) ‘Viability of intertwined supply networks: extending the supply chain resilience angles towards survivability. A position paper motivated by COVID-19 outbreak’, </w:t>
      </w:r>
      <w:r w:rsidRPr="00E5596A">
        <w:rPr>
          <w:rFonts w:asciiTheme="minorBidi" w:hAnsiTheme="minorBidi"/>
          <w:i/>
          <w:iCs/>
        </w:rPr>
        <w:t>International Journal of Production Research</w:t>
      </w:r>
      <w:r w:rsidRPr="00E5596A">
        <w:rPr>
          <w:rFonts w:asciiTheme="minorBidi" w:hAnsiTheme="minorBidi"/>
        </w:rPr>
        <w:t xml:space="preserve">, 58(10), pp. 2904–2915. </w:t>
      </w:r>
      <w:hyperlink r:id="rId10" w:history="1">
        <w:r w:rsidRPr="00E5596A">
          <w:rPr>
            <w:rStyle w:val="Hyperlink"/>
            <w:rFonts w:asciiTheme="minorBidi" w:hAnsiTheme="minorBidi"/>
          </w:rPr>
          <w:t>doi:10.1080/00207543.2020.1750727</w:t>
        </w:r>
      </w:hyperlink>
      <w:r w:rsidRPr="00E5596A">
        <w:rPr>
          <w:rFonts w:asciiTheme="minorBidi" w:hAnsiTheme="minorBidi"/>
        </w:rPr>
        <w:t>.</w:t>
      </w:r>
    </w:p>
    <w:p w14:paraId="2DF48E0C"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 xml:space="preserve">Kabir, S. (2017) ‘An overview of fault tree analysis and its application in </w:t>
      </w:r>
      <w:proofErr w:type="gramStart"/>
      <w:r w:rsidRPr="00E5596A">
        <w:rPr>
          <w:rFonts w:asciiTheme="minorBidi" w:hAnsiTheme="minorBidi"/>
        </w:rPr>
        <w:t>model based</w:t>
      </w:r>
      <w:proofErr w:type="gramEnd"/>
      <w:r w:rsidRPr="00E5596A">
        <w:rPr>
          <w:rFonts w:asciiTheme="minorBidi" w:hAnsiTheme="minorBidi"/>
        </w:rPr>
        <w:t xml:space="preserve"> dependability analysis’, </w:t>
      </w:r>
      <w:r w:rsidRPr="00E5596A">
        <w:rPr>
          <w:rFonts w:asciiTheme="minorBidi" w:hAnsiTheme="minorBidi"/>
          <w:i/>
          <w:iCs/>
        </w:rPr>
        <w:t>Expert Systems with Applications</w:t>
      </w:r>
      <w:r w:rsidRPr="00E5596A">
        <w:rPr>
          <w:rFonts w:asciiTheme="minorBidi" w:hAnsiTheme="minorBidi"/>
        </w:rPr>
        <w:t xml:space="preserve">, 77, pp. 114–135. </w:t>
      </w:r>
      <w:hyperlink r:id="rId11" w:history="1">
        <w:proofErr w:type="gramStart"/>
        <w:r w:rsidRPr="00E5596A">
          <w:rPr>
            <w:rStyle w:val="Hyperlink"/>
            <w:rFonts w:asciiTheme="minorBidi" w:hAnsiTheme="minorBidi"/>
          </w:rPr>
          <w:t>doi:10.1016/j.eswa</w:t>
        </w:r>
        <w:proofErr w:type="gramEnd"/>
        <w:r w:rsidRPr="00E5596A">
          <w:rPr>
            <w:rStyle w:val="Hyperlink"/>
            <w:rFonts w:asciiTheme="minorBidi" w:hAnsiTheme="minorBidi"/>
          </w:rPr>
          <w:t>.2017.01.058</w:t>
        </w:r>
      </w:hyperlink>
      <w:r w:rsidRPr="00E5596A">
        <w:rPr>
          <w:rFonts w:asciiTheme="minorBidi" w:hAnsiTheme="minorBidi"/>
        </w:rPr>
        <w:t>.</w:t>
      </w:r>
    </w:p>
    <w:p w14:paraId="19FA390E" w14:textId="77777777" w:rsidR="00E5596A" w:rsidRPr="00E5596A" w:rsidRDefault="00E5596A" w:rsidP="00E5596A">
      <w:pPr>
        <w:spacing w:line="480" w:lineRule="auto"/>
        <w:jc w:val="both"/>
        <w:rPr>
          <w:rFonts w:asciiTheme="minorBidi" w:hAnsiTheme="minorBidi"/>
        </w:rPr>
      </w:pPr>
      <w:proofErr w:type="spellStart"/>
      <w:r w:rsidRPr="00E5596A">
        <w:rPr>
          <w:rFonts w:asciiTheme="minorBidi" w:hAnsiTheme="minorBidi"/>
        </w:rPr>
        <w:t>Kamalahmadi</w:t>
      </w:r>
      <w:proofErr w:type="spellEnd"/>
      <w:r w:rsidRPr="00E5596A">
        <w:rPr>
          <w:rFonts w:asciiTheme="minorBidi" w:hAnsiTheme="minorBidi"/>
        </w:rPr>
        <w:t xml:space="preserve">, M. and </w:t>
      </w:r>
      <w:proofErr w:type="spellStart"/>
      <w:r w:rsidRPr="00E5596A">
        <w:rPr>
          <w:rFonts w:asciiTheme="minorBidi" w:hAnsiTheme="minorBidi"/>
        </w:rPr>
        <w:t>Parast</w:t>
      </w:r>
      <w:proofErr w:type="spellEnd"/>
      <w:r w:rsidRPr="00E5596A">
        <w:rPr>
          <w:rFonts w:asciiTheme="minorBidi" w:hAnsiTheme="minorBidi"/>
        </w:rPr>
        <w:t xml:space="preserve">, M.M. (2016) ‘A review of the literature on the principles of enterprise and supply chain resilience: Major findings and directions for future </w:t>
      </w:r>
      <w:r w:rsidRPr="00E5596A">
        <w:rPr>
          <w:rFonts w:asciiTheme="minorBidi" w:hAnsiTheme="minorBidi"/>
        </w:rPr>
        <w:lastRenderedPageBreak/>
        <w:t xml:space="preserve">research’, </w:t>
      </w:r>
      <w:r w:rsidRPr="00E5596A">
        <w:rPr>
          <w:rFonts w:asciiTheme="minorBidi" w:hAnsiTheme="minorBidi"/>
          <w:i/>
          <w:iCs/>
        </w:rPr>
        <w:t>International Journal of Production Economics</w:t>
      </w:r>
      <w:r w:rsidRPr="00E5596A">
        <w:rPr>
          <w:rFonts w:asciiTheme="minorBidi" w:hAnsiTheme="minorBidi"/>
        </w:rPr>
        <w:t xml:space="preserve">, 171, pp. 116–133. </w:t>
      </w:r>
      <w:hyperlink r:id="rId12" w:history="1">
        <w:proofErr w:type="gramStart"/>
        <w:r w:rsidRPr="00E5596A">
          <w:rPr>
            <w:rStyle w:val="Hyperlink"/>
            <w:rFonts w:asciiTheme="minorBidi" w:hAnsiTheme="minorBidi"/>
          </w:rPr>
          <w:t>doi:10.1016/j.ijpe</w:t>
        </w:r>
        <w:proofErr w:type="gramEnd"/>
        <w:r w:rsidRPr="00E5596A">
          <w:rPr>
            <w:rStyle w:val="Hyperlink"/>
            <w:rFonts w:asciiTheme="minorBidi" w:hAnsiTheme="minorBidi"/>
          </w:rPr>
          <w:t>.2015.10.023</w:t>
        </w:r>
      </w:hyperlink>
      <w:r w:rsidRPr="00E5596A">
        <w:rPr>
          <w:rFonts w:asciiTheme="minorBidi" w:hAnsiTheme="minorBidi"/>
        </w:rPr>
        <w:t>.</w:t>
      </w:r>
    </w:p>
    <w:p w14:paraId="2F6B87A2"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 xml:space="preserve">Opara-Martins, J., </w:t>
      </w:r>
      <w:proofErr w:type="spellStart"/>
      <w:r w:rsidRPr="00E5596A">
        <w:rPr>
          <w:rFonts w:asciiTheme="minorBidi" w:hAnsiTheme="minorBidi"/>
        </w:rPr>
        <w:t>Sahandi</w:t>
      </w:r>
      <w:proofErr w:type="spellEnd"/>
      <w:r w:rsidRPr="00E5596A">
        <w:rPr>
          <w:rFonts w:asciiTheme="minorBidi" w:hAnsiTheme="minorBidi"/>
        </w:rPr>
        <w:t xml:space="preserve">, R. and Tian, F. (2016) ‘Critical analysis of vendor lock-in and its impact on cloud computing migration: a business perspective’, </w:t>
      </w:r>
      <w:r w:rsidRPr="00E5596A">
        <w:rPr>
          <w:rFonts w:asciiTheme="minorBidi" w:hAnsiTheme="minorBidi"/>
          <w:i/>
          <w:iCs/>
        </w:rPr>
        <w:t>Journal of Cloud Computing</w:t>
      </w:r>
      <w:r w:rsidRPr="00E5596A">
        <w:rPr>
          <w:rFonts w:asciiTheme="minorBidi" w:hAnsiTheme="minorBidi"/>
        </w:rPr>
        <w:t xml:space="preserve">, 5, article 4. </w:t>
      </w:r>
      <w:hyperlink r:id="rId13" w:history="1">
        <w:r w:rsidRPr="00E5596A">
          <w:rPr>
            <w:rStyle w:val="Hyperlink"/>
            <w:rFonts w:asciiTheme="minorBidi" w:hAnsiTheme="minorBidi"/>
          </w:rPr>
          <w:t>doi:10.1186/s13677-016-0054-z</w:t>
        </w:r>
      </w:hyperlink>
      <w:r w:rsidRPr="00E5596A">
        <w:rPr>
          <w:rFonts w:asciiTheme="minorBidi" w:hAnsiTheme="minorBidi"/>
        </w:rPr>
        <w:t>.</w:t>
      </w:r>
    </w:p>
    <w:p w14:paraId="4B3F1882" w14:textId="77777777" w:rsidR="00E5596A" w:rsidRPr="00E5596A" w:rsidRDefault="00E5596A" w:rsidP="00E5596A">
      <w:pPr>
        <w:spacing w:line="480" w:lineRule="auto"/>
        <w:jc w:val="both"/>
        <w:rPr>
          <w:rFonts w:asciiTheme="minorBidi" w:hAnsiTheme="minorBidi"/>
        </w:rPr>
      </w:pPr>
      <w:proofErr w:type="spellStart"/>
      <w:r w:rsidRPr="00E5596A">
        <w:rPr>
          <w:rFonts w:asciiTheme="minorBidi" w:hAnsiTheme="minorBidi"/>
        </w:rPr>
        <w:t>Tikkinen</w:t>
      </w:r>
      <w:proofErr w:type="spellEnd"/>
      <w:r w:rsidRPr="00E5596A">
        <w:rPr>
          <w:rFonts w:asciiTheme="minorBidi" w:hAnsiTheme="minorBidi"/>
        </w:rPr>
        <w:t xml:space="preserve">-Piri, C., Rohunen, A. and Markkula, J. (2018) ‘EU General Data Protection Regulation: Changes and implications for personal data collecting companies’, </w:t>
      </w:r>
      <w:r w:rsidRPr="00E5596A">
        <w:rPr>
          <w:rFonts w:asciiTheme="minorBidi" w:hAnsiTheme="minorBidi"/>
          <w:i/>
          <w:iCs/>
        </w:rPr>
        <w:t>Computer Law &amp; Security Review</w:t>
      </w:r>
      <w:r w:rsidRPr="00E5596A">
        <w:rPr>
          <w:rFonts w:asciiTheme="minorBidi" w:hAnsiTheme="minorBidi"/>
        </w:rPr>
        <w:t xml:space="preserve">, 34(1), pp. 134–153. </w:t>
      </w:r>
      <w:hyperlink r:id="rId14" w:history="1">
        <w:proofErr w:type="gramStart"/>
        <w:r w:rsidRPr="00E5596A">
          <w:rPr>
            <w:rStyle w:val="Hyperlink"/>
            <w:rFonts w:asciiTheme="minorBidi" w:hAnsiTheme="minorBidi"/>
          </w:rPr>
          <w:t>doi:10.1016/j.clsr</w:t>
        </w:r>
        <w:proofErr w:type="gramEnd"/>
        <w:r w:rsidRPr="00E5596A">
          <w:rPr>
            <w:rStyle w:val="Hyperlink"/>
            <w:rFonts w:asciiTheme="minorBidi" w:hAnsiTheme="minorBidi"/>
          </w:rPr>
          <w:t>.2017.05.015</w:t>
        </w:r>
      </w:hyperlink>
      <w:r w:rsidRPr="00E5596A">
        <w:rPr>
          <w:rFonts w:asciiTheme="minorBidi" w:hAnsiTheme="minorBidi"/>
        </w:rPr>
        <w:t>.</w:t>
      </w:r>
    </w:p>
    <w:p w14:paraId="4E9C1814" w14:textId="77777777" w:rsidR="00E5596A" w:rsidRPr="00E5596A" w:rsidRDefault="00E5596A" w:rsidP="00E5596A">
      <w:pPr>
        <w:spacing w:line="480" w:lineRule="auto"/>
        <w:jc w:val="both"/>
        <w:rPr>
          <w:rFonts w:asciiTheme="minorBidi" w:hAnsiTheme="minorBidi"/>
        </w:rPr>
      </w:pPr>
      <w:r w:rsidRPr="00E5596A">
        <w:rPr>
          <w:rFonts w:asciiTheme="minorBidi" w:hAnsiTheme="minorBidi"/>
        </w:rPr>
        <w:t xml:space="preserve">van </w:t>
      </w:r>
      <w:proofErr w:type="spellStart"/>
      <w:r w:rsidRPr="00E5596A">
        <w:rPr>
          <w:rFonts w:asciiTheme="minorBidi" w:hAnsiTheme="minorBidi"/>
        </w:rPr>
        <w:t>Geest</w:t>
      </w:r>
      <w:proofErr w:type="spellEnd"/>
      <w:r w:rsidRPr="00E5596A">
        <w:rPr>
          <w:rFonts w:asciiTheme="minorBidi" w:hAnsiTheme="minorBidi"/>
        </w:rPr>
        <w:t xml:space="preserve">, M., </w:t>
      </w:r>
      <w:proofErr w:type="spellStart"/>
      <w:r w:rsidRPr="00E5596A">
        <w:rPr>
          <w:rFonts w:asciiTheme="minorBidi" w:hAnsiTheme="minorBidi"/>
        </w:rPr>
        <w:t>Tekinerdogan</w:t>
      </w:r>
      <w:proofErr w:type="spellEnd"/>
      <w:r w:rsidRPr="00E5596A">
        <w:rPr>
          <w:rFonts w:asciiTheme="minorBidi" w:hAnsiTheme="minorBidi"/>
        </w:rPr>
        <w:t xml:space="preserve">, B. and </w:t>
      </w:r>
      <w:proofErr w:type="spellStart"/>
      <w:r w:rsidRPr="00E5596A">
        <w:rPr>
          <w:rFonts w:asciiTheme="minorBidi" w:hAnsiTheme="minorBidi"/>
        </w:rPr>
        <w:t>Catal</w:t>
      </w:r>
      <w:proofErr w:type="spellEnd"/>
      <w:r w:rsidRPr="00E5596A">
        <w:rPr>
          <w:rFonts w:asciiTheme="minorBidi" w:hAnsiTheme="minorBidi"/>
        </w:rPr>
        <w:t xml:space="preserve">, C. (2022) ‘Smart warehouses: Rationale, challenges and solution directions’, </w:t>
      </w:r>
      <w:r w:rsidRPr="00E5596A">
        <w:rPr>
          <w:rFonts w:asciiTheme="minorBidi" w:hAnsiTheme="minorBidi"/>
          <w:i/>
          <w:iCs/>
        </w:rPr>
        <w:t>Applied Sciences</w:t>
      </w:r>
      <w:r w:rsidRPr="00E5596A">
        <w:rPr>
          <w:rFonts w:asciiTheme="minorBidi" w:hAnsiTheme="minorBidi"/>
        </w:rPr>
        <w:t xml:space="preserve">, 12(1), article 219. </w:t>
      </w:r>
      <w:hyperlink r:id="rId15" w:history="1">
        <w:r w:rsidRPr="00E5596A">
          <w:rPr>
            <w:rStyle w:val="Hyperlink"/>
            <w:rFonts w:asciiTheme="minorBidi" w:hAnsiTheme="minorBidi"/>
          </w:rPr>
          <w:t>doi:10.3390/app12010219</w:t>
        </w:r>
      </w:hyperlink>
      <w:r w:rsidRPr="00E5596A">
        <w:rPr>
          <w:rFonts w:asciiTheme="minorBidi" w:hAnsiTheme="minorBidi"/>
        </w:rPr>
        <w:t>.</w:t>
      </w:r>
    </w:p>
    <w:p w14:paraId="1B2CAB69" w14:textId="77777777" w:rsidR="00E5596A" w:rsidRPr="00E5596A" w:rsidRDefault="00E5596A" w:rsidP="00E5596A">
      <w:pPr>
        <w:spacing w:line="480" w:lineRule="auto"/>
        <w:jc w:val="both"/>
        <w:rPr>
          <w:rFonts w:asciiTheme="minorBidi" w:hAnsiTheme="minorBidi"/>
        </w:rPr>
      </w:pPr>
    </w:p>
    <w:sectPr w:rsidR="00E5596A" w:rsidRPr="00E5596A">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2AF60" w14:textId="77777777" w:rsidR="00B00F2E" w:rsidRDefault="00B00F2E" w:rsidP="00E5596A">
      <w:pPr>
        <w:spacing w:after="0" w:line="240" w:lineRule="auto"/>
      </w:pPr>
      <w:r>
        <w:separator/>
      </w:r>
    </w:p>
  </w:endnote>
  <w:endnote w:type="continuationSeparator" w:id="0">
    <w:p w14:paraId="2A37E11E" w14:textId="77777777" w:rsidR="00B00F2E" w:rsidRDefault="00B00F2E" w:rsidP="00E55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674846"/>
      <w:docPartObj>
        <w:docPartGallery w:val="Page Numbers (Bottom of Page)"/>
        <w:docPartUnique/>
      </w:docPartObj>
    </w:sdtPr>
    <w:sdtContent>
      <w:sdt>
        <w:sdtPr>
          <w:id w:val="-1769616900"/>
          <w:docPartObj>
            <w:docPartGallery w:val="Page Numbers (Top of Page)"/>
            <w:docPartUnique/>
          </w:docPartObj>
        </w:sdtPr>
        <w:sdtContent>
          <w:p w14:paraId="1FA2C76D" w14:textId="40A28EF6" w:rsidR="00E5596A" w:rsidRDefault="00E5596A">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656969F" w14:textId="77777777" w:rsidR="00E5596A" w:rsidRDefault="00E559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62DD5" w14:textId="77777777" w:rsidR="00B00F2E" w:rsidRDefault="00B00F2E" w:rsidP="00E5596A">
      <w:pPr>
        <w:spacing w:after="0" w:line="240" w:lineRule="auto"/>
      </w:pPr>
      <w:r>
        <w:separator/>
      </w:r>
    </w:p>
  </w:footnote>
  <w:footnote w:type="continuationSeparator" w:id="0">
    <w:p w14:paraId="32E45F70" w14:textId="77777777" w:rsidR="00B00F2E" w:rsidRDefault="00B00F2E" w:rsidP="00E559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96A"/>
    <w:rsid w:val="008010D2"/>
    <w:rsid w:val="00805390"/>
    <w:rsid w:val="00B00F2E"/>
    <w:rsid w:val="00D075F5"/>
    <w:rsid w:val="00E5596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1DBBF"/>
  <w15:chartTrackingRefBased/>
  <w15:docId w15:val="{00BADBE3-0B97-4F43-9CA6-DF93CD379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9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96A"/>
    <w:rPr>
      <w:rFonts w:eastAsiaTheme="majorEastAsia" w:cstheme="majorBidi"/>
      <w:color w:val="272727" w:themeColor="text1" w:themeTint="D8"/>
    </w:rPr>
  </w:style>
  <w:style w:type="paragraph" w:styleId="Title">
    <w:name w:val="Title"/>
    <w:basedOn w:val="Normal"/>
    <w:next w:val="Normal"/>
    <w:link w:val="TitleChar"/>
    <w:uiPriority w:val="10"/>
    <w:qFormat/>
    <w:rsid w:val="00E55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96A"/>
    <w:pPr>
      <w:spacing w:before="160"/>
      <w:jc w:val="center"/>
    </w:pPr>
    <w:rPr>
      <w:i/>
      <w:iCs/>
      <w:color w:val="404040" w:themeColor="text1" w:themeTint="BF"/>
    </w:rPr>
  </w:style>
  <w:style w:type="character" w:customStyle="1" w:styleId="QuoteChar">
    <w:name w:val="Quote Char"/>
    <w:basedOn w:val="DefaultParagraphFont"/>
    <w:link w:val="Quote"/>
    <w:uiPriority w:val="29"/>
    <w:rsid w:val="00E5596A"/>
    <w:rPr>
      <w:i/>
      <w:iCs/>
      <w:color w:val="404040" w:themeColor="text1" w:themeTint="BF"/>
    </w:rPr>
  </w:style>
  <w:style w:type="paragraph" w:styleId="ListParagraph">
    <w:name w:val="List Paragraph"/>
    <w:basedOn w:val="Normal"/>
    <w:uiPriority w:val="34"/>
    <w:qFormat/>
    <w:rsid w:val="00E5596A"/>
    <w:pPr>
      <w:ind w:left="720"/>
      <w:contextualSpacing/>
    </w:pPr>
  </w:style>
  <w:style w:type="character" w:styleId="IntenseEmphasis">
    <w:name w:val="Intense Emphasis"/>
    <w:basedOn w:val="DefaultParagraphFont"/>
    <w:uiPriority w:val="21"/>
    <w:qFormat/>
    <w:rsid w:val="00E5596A"/>
    <w:rPr>
      <w:i/>
      <w:iCs/>
      <w:color w:val="0F4761" w:themeColor="accent1" w:themeShade="BF"/>
    </w:rPr>
  </w:style>
  <w:style w:type="paragraph" w:styleId="IntenseQuote">
    <w:name w:val="Intense Quote"/>
    <w:basedOn w:val="Normal"/>
    <w:next w:val="Normal"/>
    <w:link w:val="IntenseQuoteChar"/>
    <w:uiPriority w:val="30"/>
    <w:qFormat/>
    <w:rsid w:val="00E55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96A"/>
    <w:rPr>
      <w:i/>
      <w:iCs/>
      <w:color w:val="0F4761" w:themeColor="accent1" w:themeShade="BF"/>
    </w:rPr>
  </w:style>
  <w:style w:type="character" w:styleId="IntenseReference">
    <w:name w:val="Intense Reference"/>
    <w:basedOn w:val="DefaultParagraphFont"/>
    <w:uiPriority w:val="32"/>
    <w:qFormat/>
    <w:rsid w:val="00E5596A"/>
    <w:rPr>
      <w:b/>
      <w:bCs/>
      <w:smallCaps/>
      <w:color w:val="0F4761" w:themeColor="accent1" w:themeShade="BF"/>
      <w:spacing w:val="5"/>
    </w:rPr>
  </w:style>
  <w:style w:type="paragraph" w:styleId="Header">
    <w:name w:val="header"/>
    <w:basedOn w:val="Normal"/>
    <w:link w:val="HeaderChar"/>
    <w:uiPriority w:val="99"/>
    <w:unhideWhenUsed/>
    <w:rsid w:val="00E559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596A"/>
  </w:style>
  <w:style w:type="paragraph" w:styleId="Footer">
    <w:name w:val="footer"/>
    <w:basedOn w:val="Normal"/>
    <w:link w:val="FooterChar"/>
    <w:uiPriority w:val="99"/>
    <w:unhideWhenUsed/>
    <w:rsid w:val="00E559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596A"/>
  </w:style>
  <w:style w:type="character" w:styleId="Hyperlink">
    <w:name w:val="Hyperlink"/>
    <w:basedOn w:val="DefaultParagraphFont"/>
    <w:uiPriority w:val="99"/>
    <w:unhideWhenUsed/>
    <w:rsid w:val="00E5596A"/>
    <w:rPr>
      <w:color w:val="467886" w:themeColor="hyperlink"/>
      <w:u w:val="single"/>
    </w:rPr>
  </w:style>
  <w:style w:type="character" w:styleId="UnresolvedMention">
    <w:name w:val="Unresolved Mention"/>
    <w:basedOn w:val="DefaultParagraphFont"/>
    <w:uiPriority w:val="99"/>
    <w:semiHidden/>
    <w:unhideWhenUsed/>
    <w:rsid w:val="00E55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ejor.2015.04.034" TargetMode="External"/><Relationship Id="rId13" Type="http://schemas.openxmlformats.org/officeDocument/2006/relationships/hyperlink" Target="https://doi.org/10.1186/s13677-016-0054-z"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186/s13677-016-0066-8" TargetMode="External"/><Relationship Id="rId12" Type="http://schemas.openxmlformats.org/officeDocument/2006/relationships/hyperlink" Target="https://doi.org/10.1016/j.ijpe.2015.10.023"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doi.org/10.1016/j.foodcont.2013.11.007" TargetMode="External"/><Relationship Id="rId11" Type="http://schemas.openxmlformats.org/officeDocument/2006/relationships/hyperlink" Target="https://doi.org/10.1016/j.eswa.2017.01.058" TargetMode="External"/><Relationship Id="rId5" Type="http://schemas.openxmlformats.org/officeDocument/2006/relationships/endnotes" Target="endnotes.xml"/><Relationship Id="rId15" Type="http://schemas.openxmlformats.org/officeDocument/2006/relationships/hyperlink" Target="https://doi.org/10.3390/app12010219" TargetMode="External"/><Relationship Id="rId10" Type="http://schemas.openxmlformats.org/officeDocument/2006/relationships/hyperlink" Target="https://doi.org/10.1080/00207543.2020.1750727" TargetMode="External"/><Relationship Id="rId4" Type="http://schemas.openxmlformats.org/officeDocument/2006/relationships/footnotes" Target="footnotes.xml"/><Relationship Id="rId9" Type="http://schemas.openxmlformats.org/officeDocument/2006/relationships/hyperlink" Target="https://doi.org/10.1016/j.omega.2014.10.004" TargetMode="External"/><Relationship Id="rId14" Type="http://schemas.openxmlformats.org/officeDocument/2006/relationships/hyperlink" Target="https://doi.org/10.1016/j.clsr.2017.05.0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2807</Words>
  <Characters>16003</Characters>
  <Application>Microsoft Office Word</Application>
  <DocSecurity>0</DocSecurity>
  <Lines>133</Lines>
  <Paragraphs>37</Paragraphs>
  <ScaleCrop>false</ScaleCrop>
  <Company/>
  <LinksUpToDate>false</LinksUpToDate>
  <CharactersWithSpaces>18773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cp:revision>
  <dcterms:created xsi:type="dcterms:W3CDTF">2026-10-11T14:40:00Z</dcterms:created>
  <dcterms:modified xsi:type="dcterms:W3CDTF">2026-10-11T14:42:00Z</dcterms:modified>
</cp:coreProperties>
</file>