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BEFE5" w14:textId="77777777" w:rsidR="00D01F62" w:rsidRPr="002E7DFC" w:rsidRDefault="00000000" w:rsidP="00C51A91">
      <w:pPr>
        <w:pStyle w:val="Title"/>
        <w:jc w:val="center"/>
        <w:rPr>
          <w:rFonts w:asciiTheme="minorBidi" w:hAnsiTheme="minorBidi" w:cstheme="minorBidi"/>
        </w:rPr>
      </w:pPr>
      <w:r w:rsidRPr="002E7DFC">
        <w:rPr>
          <w:rFonts w:asciiTheme="minorBidi" w:hAnsiTheme="minorBidi" w:cstheme="minorBidi"/>
        </w:rPr>
        <w:t>Security and Risk Management Individual e Portfolio</w:t>
      </w:r>
    </w:p>
    <w:p w14:paraId="056EFFAF" w14:textId="77777777" w:rsidR="00D01F62" w:rsidRPr="002E7DFC" w:rsidRDefault="00000000" w:rsidP="00C51A91">
      <w:pPr>
        <w:jc w:val="center"/>
        <w:rPr>
          <w:rFonts w:asciiTheme="minorBidi" w:hAnsiTheme="minorBidi"/>
        </w:rPr>
      </w:pPr>
      <w:r w:rsidRPr="002E7DFC">
        <w:rPr>
          <w:rFonts w:asciiTheme="minorBidi" w:hAnsiTheme="minorBidi"/>
        </w:rPr>
        <w:t>Noora Aldsani</w:t>
      </w:r>
    </w:p>
    <w:p w14:paraId="358B02C0" w14:textId="77777777" w:rsidR="00D01F62" w:rsidRPr="002E7DFC" w:rsidRDefault="00000000" w:rsidP="00C51A91">
      <w:pPr>
        <w:jc w:val="center"/>
        <w:rPr>
          <w:rFonts w:asciiTheme="minorBidi" w:hAnsiTheme="minorBidi"/>
        </w:rPr>
      </w:pPr>
      <w:r w:rsidRPr="002E7DFC">
        <w:rPr>
          <w:rFonts w:asciiTheme="minorBidi" w:hAnsiTheme="minorBidi"/>
        </w:rPr>
        <w:t>SRM_PCOM7E July 2026</w:t>
      </w:r>
    </w:p>
    <w:p w14:paraId="30F55638" w14:textId="77777777" w:rsidR="00D01F62" w:rsidRPr="002E7DFC" w:rsidRDefault="00000000" w:rsidP="00C51A91">
      <w:pPr>
        <w:jc w:val="center"/>
        <w:rPr>
          <w:rFonts w:asciiTheme="minorBidi" w:hAnsiTheme="minorBidi"/>
        </w:rPr>
      </w:pPr>
      <w:r w:rsidRPr="002E7DFC">
        <w:rPr>
          <w:rFonts w:asciiTheme="minorBidi" w:hAnsiTheme="minorBidi"/>
        </w:rPr>
        <w:t>19 October 2026</w:t>
      </w:r>
    </w:p>
    <w:p w14:paraId="4EF96D59" w14:textId="77777777" w:rsidR="00D01F62" w:rsidRPr="002E7DFC" w:rsidRDefault="00000000" w:rsidP="00C51A91">
      <w:pPr>
        <w:jc w:val="center"/>
        <w:rPr>
          <w:rFonts w:asciiTheme="minorBidi" w:hAnsiTheme="minorBidi"/>
        </w:rPr>
      </w:pPr>
      <w:r w:rsidRPr="002E7DFC">
        <w:rPr>
          <w:rFonts w:asciiTheme="minorBidi" w:hAnsiTheme="minorBidi"/>
        </w:rPr>
        <w:t>E Portfolio and GitHub URL</w:t>
      </w:r>
    </w:p>
    <w:p w14:paraId="5FF30702" w14:textId="77777777" w:rsidR="00D01F62" w:rsidRPr="002E7DFC" w:rsidRDefault="00000000">
      <w:pPr>
        <w:pStyle w:val="Heading1"/>
        <w:pageBreakBefore/>
        <w:rPr>
          <w:rFonts w:asciiTheme="minorBidi" w:hAnsiTheme="minorBidi" w:cstheme="minorBidi"/>
        </w:rPr>
      </w:pPr>
      <w:r w:rsidRPr="002E7DFC">
        <w:rPr>
          <w:rFonts w:asciiTheme="minorBidi" w:hAnsiTheme="minorBidi" w:cstheme="minorBidi"/>
        </w:rPr>
        <w:lastRenderedPageBreak/>
        <w:t>Contents and evidence basis</w:t>
      </w:r>
    </w:p>
    <w:p w14:paraId="0960B10B" w14:textId="77777777" w:rsidR="00D01F62" w:rsidRPr="002E7DFC" w:rsidRDefault="00000000">
      <w:pPr>
        <w:rPr>
          <w:rFonts w:asciiTheme="minorBidi" w:hAnsiTheme="minorBidi"/>
        </w:rPr>
      </w:pPr>
      <w:r w:rsidRPr="002E7DFC">
        <w:rPr>
          <w:rFonts w:asciiTheme="minorBidi" w:hAnsiTheme="minorBidi"/>
        </w:rPr>
        <w:t>1 Reflective commentary</w:t>
      </w:r>
    </w:p>
    <w:p w14:paraId="5D74BA40" w14:textId="77777777" w:rsidR="00D01F62" w:rsidRPr="002E7DFC" w:rsidRDefault="00000000">
      <w:pPr>
        <w:rPr>
          <w:rFonts w:asciiTheme="minorBidi" w:hAnsiTheme="minorBidi"/>
        </w:rPr>
      </w:pPr>
      <w:r w:rsidRPr="002E7DFC">
        <w:rPr>
          <w:rFonts w:asciiTheme="minorBidi" w:hAnsiTheme="minorBidi"/>
        </w:rPr>
        <w:t>2 Comparison of Unit 6 and Unit 11</w:t>
      </w:r>
    </w:p>
    <w:p w14:paraId="621A1F7C" w14:textId="77777777" w:rsidR="00D01F62" w:rsidRPr="002E7DFC" w:rsidRDefault="00000000">
      <w:pPr>
        <w:rPr>
          <w:rFonts w:asciiTheme="minorBidi" w:hAnsiTheme="minorBidi"/>
        </w:rPr>
      </w:pPr>
      <w:r w:rsidRPr="002E7DFC">
        <w:rPr>
          <w:rFonts w:asciiTheme="minorBidi" w:hAnsiTheme="minorBidi"/>
        </w:rPr>
        <w:t>3 Unit learning and evidence map</w:t>
      </w:r>
    </w:p>
    <w:p w14:paraId="1F36CA04" w14:textId="77777777" w:rsidR="00D01F62" w:rsidRPr="002E7DFC" w:rsidRDefault="00000000">
      <w:pPr>
        <w:rPr>
          <w:rFonts w:asciiTheme="minorBidi" w:hAnsiTheme="minorBidi"/>
        </w:rPr>
      </w:pPr>
      <w:r w:rsidRPr="002E7DFC">
        <w:rPr>
          <w:rFonts w:asciiTheme="minorBidi" w:hAnsiTheme="minorBidi"/>
        </w:rPr>
        <w:t>4 Action and assurance plan</w:t>
      </w:r>
    </w:p>
    <w:p w14:paraId="13F0B97F" w14:textId="77777777" w:rsidR="00D01F62" w:rsidRPr="002E7DFC" w:rsidRDefault="00000000">
      <w:pPr>
        <w:rPr>
          <w:rFonts w:asciiTheme="minorBidi" w:hAnsiTheme="minorBidi"/>
        </w:rPr>
      </w:pPr>
      <w:r w:rsidRPr="002E7DFC">
        <w:rPr>
          <w:rFonts w:asciiTheme="minorBidi" w:hAnsiTheme="minorBidi"/>
        </w:rPr>
        <w:t>References</w:t>
      </w:r>
    </w:p>
    <w:p w14:paraId="1508FFE7" w14:textId="77777777" w:rsidR="00D01F62" w:rsidRPr="002E7DFC" w:rsidRDefault="00000000">
      <w:pPr>
        <w:rPr>
          <w:rFonts w:asciiTheme="minorBidi" w:hAnsiTheme="minorBidi"/>
        </w:rPr>
      </w:pPr>
      <w:r w:rsidRPr="002E7DFC">
        <w:rPr>
          <w:rFonts w:asciiTheme="minorBidi" w:hAnsiTheme="minorBidi"/>
        </w:rPr>
        <w:t>Evidence appendix</w:t>
      </w:r>
    </w:p>
    <w:p w14:paraId="154DEE54" w14:textId="77777777" w:rsidR="00D01F62" w:rsidRPr="002E7DFC" w:rsidRDefault="00000000">
      <w:pPr>
        <w:rPr>
          <w:rFonts w:asciiTheme="minorBidi" w:hAnsiTheme="minorBidi"/>
        </w:rPr>
      </w:pPr>
      <w:r w:rsidRPr="002E7DFC">
        <w:rPr>
          <w:rFonts w:asciiTheme="minorBidi" w:hAnsiTheme="minorBidi"/>
        </w:rPr>
        <w:t>E1 is the Group 3 risk report; E2 is Noora’s individual summary; E3 is the peer evaluation; E4 is the supplied brief and tutor feedback. Newly prepared unit examples are clearly labelled. No additional historical posts, meeting records or practical deployments are inferred.</w:t>
      </w:r>
    </w:p>
    <w:p w14:paraId="69BCC2D6" w14:textId="77777777" w:rsidR="00D01F62" w:rsidRPr="002E7DFC" w:rsidRDefault="00000000">
      <w:pPr>
        <w:pStyle w:val="Heading1"/>
        <w:pageBreakBefore/>
        <w:rPr>
          <w:rFonts w:asciiTheme="minorBidi" w:hAnsiTheme="minorBidi" w:cstheme="minorBidi"/>
        </w:rPr>
      </w:pPr>
      <w:r w:rsidRPr="002E7DFC">
        <w:rPr>
          <w:rFonts w:asciiTheme="minorBidi" w:hAnsiTheme="minorBidi" w:cstheme="minorBidi"/>
        </w:rPr>
        <w:lastRenderedPageBreak/>
        <w:t>1 Reflective commentary</w:t>
      </w:r>
    </w:p>
    <w:p w14:paraId="098B8009" w14:textId="77777777" w:rsidR="00D01F62" w:rsidRPr="002E7DFC" w:rsidRDefault="00000000">
      <w:pPr>
        <w:pStyle w:val="Heading2"/>
        <w:rPr>
          <w:rFonts w:asciiTheme="minorBidi" w:hAnsiTheme="minorBidi" w:cstheme="minorBidi"/>
        </w:rPr>
      </w:pPr>
      <w:r w:rsidRPr="002E7DFC">
        <w:rPr>
          <w:rFonts w:asciiTheme="minorBidi" w:hAnsiTheme="minorBidi" w:cstheme="minorBidi"/>
        </w:rPr>
        <w:t>What</w:t>
      </w:r>
    </w:p>
    <w:p w14:paraId="47BB8926" w14:textId="77777777" w:rsidR="00D01F62" w:rsidRPr="002E7DFC" w:rsidRDefault="00000000">
      <w:pPr>
        <w:rPr>
          <w:rFonts w:asciiTheme="minorBidi" w:hAnsiTheme="minorBidi"/>
        </w:rPr>
      </w:pPr>
      <w:r w:rsidRPr="002E7DFC">
        <w:rPr>
          <w:rFonts w:asciiTheme="minorBidi" w:hAnsiTheme="minorBidi"/>
        </w:rPr>
        <w:t>My Security and Risk Management work examined whether Pampered Pets should digitalise while protecting product quality, supply and customer trust. The Unit 6 group report recommended selective, reversible changes, retaining local sourcing and initially using click-and-collect with in-store payment. My peer evaluation identifies my contribution as developing the final recommendation and connecting it with the risks identified by other members (Noora, 2026a; Group 3, 2026). This gives my reflection a specific basis in decision-making rather than a claim that I completed every technical section.</w:t>
      </w:r>
    </w:p>
    <w:p w14:paraId="00895345" w14:textId="77777777" w:rsidR="00D01F62" w:rsidRPr="002E7DFC" w:rsidRDefault="00000000">
      <w:pPr>
        <w:rPr>
          <w:rFonts w:asciiTheme="minorBidi" w:hAnsiTheme="minorBidi"/>
        </w:rPr>
      </w:pPr>
      <w:r w:rsidRPr="002E7DFC">
        <w:rPr>
          <w:rFonts w:asciiTheme="minorBidi" w:hAnsiTheme="minorBidi"/>
        </w:rPr>
        <w:t>The supplied feedback records 77% for the group report and 74% for my Unit 11 executive summary. These provisional results recognise strong critical analysis while identifying important limitations. The later brief changed the scenario: international supply and automated warehouses became requirements rather than optional future stages. My individual work therefore considered a more complex operating model, using conditional fault trees and a proposed recovery architecture (Noora, 2026b). I distinguish this scenario change from evidence that the earlier recommendation failed.</w:t>
      </w:r>
    </w:p>
    <w:p w14:paraId="2F4C3717" w14:textId="77777777" w:rsidR="00D01F62" w:rsidRPr="002E7DFC" w:rsidRDefault="00000000">
      <w:pPr>
        <w:rPr>
          <w:rFonts w:asciiTheme="minorBidi" w:hAnsiTheme="minorBidi"/>
        </w:rPr>
      </w:pPr>
      <w:r w:rsidRPr="002E7DFC">
        <w:rPr>
          <w:rFonts w:asciiTheme="minorBidi" w:hAnsiTheme="minorBidi"/>
        </w:rPr>
        <w:t>I use the What, So what and Now what structure of Rolfe, Freshwater and Jasper (2001). The strongest learning evidence is the progression between the two reports and the assessor’s comments. The supplied documents do not establish historical seminar attendance or a separate artefact for every unit. Newly prepared exercises are therefore identified as practice material rather than reconstructed participation.</w:t>
      </w:r>
    </w:p>
    <w:p w14:paraId="19EA299A" w14:textId="77777777" w:rsidR="00D01F62" w:rsidRPr="002E7DFC" w:rsidRDefault="00000000">
      <w:pPr>
        <w:pStyle w:val="Heading2"/>
        <w:rPr>
          <w:rFonts w:asciiTheme="minorBidi" w:hAnsiTheme="minorBidi" w:cstheme="minorBidi"/>
        </w:rPr>
      </w:pPr>
      <w:r w:rsidRPr="002E7DFC">
        <w:rPr>
          <w:rFonts w:asciiTheme="minorBidi" w:hAnsiTheme="minorBidi" w:cstheme="minorBidi"/>
        </w:rPr>
        <w:lastRenderedPageBreak/>
        <w:t>So what</w:t>
      </w:r>
    </w:p>
    <w:p w14:paraId="474AB96C" w14:textId="77777777" w:rsidR="00D01F62" w:rsidRPr="002E7DFC" w:rsidRDefault="00000000">
      <w:pPr>
        <w:rPr>
          <w:rFonts w:asciiTheme="minorBidi" w:hAnsiTheme="minorBidi"/>
        </w:rPr>
      </w:pPr>
      <w:r w:rsidRPr="002E7DFC">
        <w:rPr>
          <w:rFonts w:asciiTheme="minorBidi" w:hAnsiTheme="minorBidi"/>
        </w:rPr>
        <w:t>Developing the recommendation required me to balance digital opportunities with capabilities already supporting the business. Local supplier access and personal service were assets, while shared networking and an old warehouse computer created exposure. I learned to question the assumption that digitalisation simply removes risk. It changes dependencies and can amplify errors across stock records, product descriptions and fulfilment. The recommendation became stronger when it specified conditions for proceeding and the ability to pause.</w:t>
      </w:r>
    </w:p>
    <w:p w14:paraId="18B83679" w14:textId="77777777" w:rsidR="00D01F62" w:rsidRPr="002E7DFC" w:rsidRDefault="00000000">
      <w:pPr>
        <w:rPr>
          <w:rFonts w:asciiTheme="minorBidi" w:hAnsiTheme="minorBidi"/>
        </w:rPr>
      </w:pPr>
      <w:r w:rsidRPr="002E7DFC">
        <w:rPr>
          <w:rFonts w:asciiTheme="minorBidi" w:hAnsiTheme="minorBidi"/>
        </w:rPr>
        <w:t>The feedback confirms that questioning the 50%, 24% and 33% claims was a strength. These figures lacked supporting business data, so I should treat them as scenarios rather than forecasts. However, the assessor also requested clearer likelihood-impact definitions, owners, timescales and residual risk. This reveals a limitation in my recommendation work: explaining why caution is sensible is insufficient unless someone can act on the proposed controls and judge whether remaining exposure is acceptable.</w:t>
      </w:r>
    </w:p>
    <w:p w14:paraId="6E0E6DA9" w14:textId="77777777" w:rsidR="00D01F62" w:rsidRPr="002E7DFC" w:rsidRDefault="00000000">
      <w:pPr>
        <w:rPr>
          <w:rFonts w:asciiTheme="minorBidi" w:hAnsiTheme="minorBidi"/>
        </w:rPr>
      </w:pPr>
      <w:r w:rsidRPr="002E7DFC">
        <w:rPr>
          <w:rFonts w:asciiTheme="minorBidi" w:hAnsiTheme="minorBidi"/>
        </w:rPr>
        <w:t>Threat modelling also has boundaries. STRIDE helps organise technical threats, but cannot alone evaluate ingredient safety, staffing capacity or supplier economics. Selecting complementary methods should follow the decision and evidence available, rather than a desire to use a familiar framework (Shevchenko et al., 2018). A structured assessment must inform decisions and communicate residual exposure, not merely produce a threat list (Joint Task Force Transformation Initiative, 2012).</w:t>
      </w:r>
    </w:p>
    <w:p w14:paraId="3A91E4F4" w14:textId="77777777" w:rsidR="00D01F62" w:rsidRPr="002E7DFC" w:rsidRDefault="00000000">
      <w:pPr>
        <w:rPr>
          <w:rFonts w:asciiTheme="minorBidi" w:hAnsiTheme="minorBidi"/>
        </w:rPr>
      </w:pPr>
      <w:r w:rsidRPr="002E7DFC">
        <w:rPr>
          <w:rFonts w:asciiTheme="minorBidi" w:hAnsiTheme="minorBidi"/>
        </w:rPr>
        <w:t xml:space="preserve">My individual summary represents progress because it defines quality failure per delivered batch and supply disruption per month. Recalculation reproduces the stated scenario estimates of 5.06% and 19.47%. Nevertheless, numerical consistency is </w:t>
      </w:r>
      <w:r w:rsidRPr="002E7DFC">
        <w:rPr>
          <w:rFonts w:asciiTheme="minorBidi" w:hAnsiTheme="minorBidi"/>
        </w:rPr>
        <w:lastRenderedPageBreak/>
        <w:t>different from empirical validity. The inputs remain analyst assumptions, and conditional independence may miss shared causes. Comparing the percentages directly would also mix denominators. I now place greater importance on explaining what a probability measures before using it to influence a commercial decision.</w:t>
      </w:r>
    </w:p>
    <w:p w14:paraId="0A094886" w14:textId="77777777" w:rsidR="00D01F62" w:rsidRPr="002E7DFC" w:rsidRDefault="00000000">
      <w:pPr>
        <w:rPr>
          <w:rFonts w:asciiTheme="minorBidi" w:hAnsiTheme="minorBidi"/>
        </w:rPr>
      </w:pPr>
      <w:r w:rsidRPr="002E7DFC">
        <w:rPr>
          <w:rFonts w:asciiTheme="minorBidi" w:hAnsiTheme="minorBidi"/>
        </w:rPr>
        <w:t>The improvement scenario exposes a further weakness. Halving every event probability gives a transparent calculation, but does not demonstrate what any specific control achieves. The assessor’s criticism encourages me to evaluate interventions individually: what mechanism changes, what evidence supports its effectiveness, and which dependencies remain? Product-safety decisions must also consider consequences. A less frequent event can deserve priority when its harm is severe.</w:t>
      </w:r>
    </w:p>
    <w:p w14:paraId="212FF507" w14:textId="77777777" w:rsidR="00D01F62" w:rsidRPr="002E7DFC" w:rsidRDefault="00000000">
      <w:pPr>
        <w:rPr>
          <w:rFonts w:asciiTheme="minorBidi" w:hAnsiTheme="minorBidi"/>
        </w:rPr>
      </w:pPr>
      <w:r w:rsidRPr="002E7DFC">
        <w:rPr>
          <w:rFonts w:asciiTheme="minorBidi" w:hAnsiTheme="minorBidi"/>
        </w:rPr>
        <w:t>I also need to make the cost of each recommendation visible. Four employees cannot absorb unlimited access reviews, supplier checks and recovery exercises alongside normal trading. A technically attractive control may fail if nobody has time to maintain it. I would distinguish essential safety checks from later optimisation and agree who can stop expansion when evidence is inadequate. This makes my recommendation more accountable: I must explain the workload and authority it creates, as well as the exposure it seeks to reduce. It also gives colleagues a concrete basis for challenging my priorities before a final decision is presented.</w:t>
      </w:r>
    </w:p>
    <w:p w14:paraId="47D7D7CC" w14:textId="77777777" w:rsidR="00D01F62" w:rsidRPr="002E7DFC" w:rsidRDefault="00000000">
      <w:pPr>
        <w:rPr>
          <w:rFonts w:asciiTheme="minorBidi" w:hAnsiTheme="minorBidi"/>
        </w:rPr>
      </w:pPr>
      <w:r w:rsidRPr="002E7DFC">
        <w:rPr>
          <w:rFonts w:asciiTheme="minorBidi" w:hAnsiTheme="minorBidi"/>
        </w:rPr>
        <w:t xml:space="preserve">The recovery proposal similarly needs stronger assurance. Its forty-five-second budget and synchronous replication are design intentions, not demonstrated service outcomes. AWS distinguishes recovery strategies by architecture and operational effort and emphasises testing (Amazon Web Services, no date). My proposed quorum and fencing arrangements need an explicit topology, failure assumptions and observed transaction </w:t>
      </w:r>
      <w:r w:rsidRPr="002E7DFC">
        <w:rPr>
          <w:rFonts w:asciiTheme="minorBidi" w:hAnsiTheme="minorBidi"/>
        </w:rPr>
        <w:lastRenderedPageBreak/>
        <w:t>behaviour. Two active application regions do not automatically establish safe database leadership during a partition.</w:t>
      </w:r>
    </w:p>
    <w:p w14:paraId="3E7E872C" w14:textId="77777777" w:rsidR="00D01F62" w:rsidRPr="002E7DFC" w:rsidRDefault="00000000">
      <w:pPr>
        <w:rPr>
          <w:rFonts w:asciiTheme="minorBidi" w:hAnsiTheme="minorBidi"/>
        </w:rPr>
      </w:pPr>
      <w:r w:rsidRPr="002E7DFC">
        <w:rPr>
          <w:rFonts w:asciiTheme="minorBidi" w:hAnsiTheme="minorBidi"/>
        </w:rPr>
        <w:t>I find the positive feedback encouraging, while the gap between a clear report and verified assurance makes me more cautious. That response should improve my checking rather than discourage technical engagement. My peer evaluation identifies cooperation and research sharing as strengths, alongside needs to improve delegation, progress monitoring and challenging assumptions. The uniformly high self-ratings require supporting examples; they cannot substitute for attributable drafts or recorded review decisions.</w:t>
      </w:r>
    </w:p>
    <w:p w14:paraId="17148990" w14:textId="77777777" w:rsidR="00D01F62" w:rsidRPr="002E7DFC" w:rsidRDefault="00000000">
      <w:pPr>
        <w:pStyle w:val="Heading2"/>
        <w:rPr>
          <w:rFonts w:asciiTheme="minorBidi" w:hAnsiTheme="minorBidi" w:cstheme="minorBidi"/>
        </w:rPr>
      </w:pPr>
      <w:r w:rsidRPr="002E7DFC">
        <w:rPr>
          <w:rFonts w:asciiTheme="minorBidi" w:hAnsiTheme="minorBidi" w:cstheme="minorBidi"/>
        </w:rPr>
        <w:t>Now what</w:t>
      </w:r>
    </w:p>
    <w:p w14:paraId="09EE2658" w14:textId="77777777" w:rsidR="00D01F62" w:rsidRPr="002E7DFC" w:rsidRDefault="00000000">
      <w:pPr>
        <w:rPr>
          <w:rFonts w:asciiTheme="minorBidi" w:hAnsiTheme="minorBidi"/>
        </w:rPr>
      </w:pPr>
      <w:r w:rsidRPr="002E7DFC">
        <w:rPr>
          <w:rFonts w:asciiTheme="minorBidi" w:hAnsiTheme="minorBidi"/>
        </w:rPr>
        <w:t>In my next assessment, I will define scales and create a risk register before drafting the recommendation. Every significant risk will have a decision owner, proposed treatment, deadline, evidence requirement and review point. Residual risk will remain provisional until the relevant control is checked. I will compare options consistently and make affordability and operational capacity explicit.</w:t>
      </w:r>
    </w:p>
    <w:p w14:paraId="1041A6F5" w14:textId="77777777" w:rsidR="00D01F62" w:rsidRPr="002E7DFC" w:rsidRDefault="00000000">
      <w:pPr>
        <w:rPr>
          <w:rFonts w:asciiTheme="minorBidi" w:hAnsiTheme="minorBidi"/>
        </w:rPr>
      </w:pPr>
      <w:r w:rsidRPr="002E7DFC">
        <w:rPr>
          <w:rFonts w:asciiTheme="minorBidi" w:hAnsiTheme="minorBidi"/>
        </w:rPr>
        <w:t>For quantitative work, I will retain separate denominators, record data provenance and test uncertainty in the most influential assumptions. I will replace blanket improvements with control-specific scenarios. For recovery, I will draw the database leadership design and test interruption, fencing, reconnection and payment reconciliation. Success must be measured at the customer transaction, with restoration from corruption assessed separately.</w:t>
      </w:r>
    </w:p>
    <w:p w14:paraId="41AEC631" w14:textId="77777777" w:rsidR="00D01F62" w:rsidRPr="002E7DFC" w:rsidRDefault="00000000">
      <w:pPr>
        <w:rPr>
          <w:rFonts w:asciiTheme="minorBidi" w:hAnsiTheme="minorBidi"/>
        </w:rPr>
      </w:pPr>
      <w:r w:rsidRPr="002E7DFC">
        <w:rPr>
          <w:rFonts w:asciiTheme="minorBidi" w:hAnsiTheme="minorBidi"/>
        </w:rPr>
        <w:lastRenderedPageBreak/>
        <w:t>Within two weeks, I will produce a small risk register and revised results table. Within four weeks, I will practise a documented failure exercise in an authorised learning environment. For future teamwork, I will agree earlier internal deadlines and retain review notes showing how my recommendation changes after challenge. This will turn critical judgement into evidence that others can inspect and use.</w:t>
      </w:r>
    </w:p>
    <w:p w14:paraId="68F620B0" w14:textId="77777777" w:rsidR="00D01F62" w:rsidRPr="002E7DFC" w:rsidRDefault="00000000">
      <w:pPr>
        <w:pStyle w:val="Heading1"/>
        <w:rPr>
          <w:rFonts w:asciiTheme="minorBidi" w:hAnsiTheme="minorBidi" w:cstheme="minorBidi"/>
        </w:rPr>
      </w:pPr>
      <w:r w:rsidRPr="002E7DFC">
        <w:rPr>
          <w:rFonts w:asciiTheme="minorBidi" w:hAnsiTheme="minorBidi" w:cstheme="minorBidi"/>
        </w:rPr>
        <w:t>2 Comparison of Unit 6 and Unit 11</w:t>
      </w:r>
    </w:p>
    <w:p w14:paraId="4550E670" w14:textId="77777777" w:rsidR="00D01F62" w:rsidRPr="002E7DFC" w:rsidRDefault="00000000">
      <w:pPr>
        <w:rPr>
          <w:rFonts w:asciiTheme="minorBidi" w:hAnsiTheme="minorBidi"/>
        </w:rPr>
      </w:pPr>
      <w:r w:rsidRPr="002E7DFC">
        <w:rPr>
          <w:rFonts w:asciiTheme="minorBidi" w:hAnsiTheme="minorBidi"/>
        </w:rPr>
        <w:t>The two artefacts address different operating scenarios. Their progression should be evaluated through analytical clarity and assurance, without treating the change in scope as evidence that international expansion actually occurred (Group 3, 2026; Noora, 2026b).</w:t>
      </w:r>
    </w:p>
    <w:tbl>
      <w:tblPr>
        <w:tblW w:w="0" w:type="auto"/>
        <w:tblLayout w:type="fixed"/>
        <w:tblLook w:val="04A0" w:firstRow="1" w:lastRow="0" w:firstColumn="1" w:lastColumn="0" w:noHBand="0" w:noVBand="1"/>
      </w:tblPr>
      <w:tblGrid>
        <w:gridCol w:w="1440"/>
        <w:gridCol w:w="3672"/>
        <w:gridCol w:w="4248"/>
      </w:tblGrid>
      <w:tr w:rsidR="00D01F62" w:rsidRPr="002E7DFC" w14:paraId="63835885" w14:textId="77777777">
        <w:trPr>
          <w:tblHeader/>
        </w:trPr>
        <w:tc>
          <w:tcPr>
            <w:tcW w:w="1440" w:type="dxa"/>
            <w:tcBorders>
              <w:top w:val="single" w:sz="4" w:space="0" w:color="D9D9D9"/>
              <w:left w:val="single" w:sz="4" w:space="0" w:color="D9D9D9"/>
              <w:bottom w:val="single" w:sz="4" w:space="0" w:color="D9D9D9"/>
              <w:right w:val="single" w:sz="4" w:space="0" w:color="D9D9D9"/>
            </w:tcBorders>
            <w:shd w:val="clear" w:color="auto" w:fill="E8EEF2"/>
          </w:tcPr>
          <w:p w14:paraId="4BA5431C" w14:textId="77777777" w:rsidR="00D01F62" w:rsidRPr="002E7DFC" w:rsidRDefault="00000000">
            <w:pPr>
              <w:spacing w:before="100" w:line="276" w:lineRule="auto"/>
              <w:jc w:val="left"/>
              <w:rPr>
                <w:rFonts w:asciiTheme="minorBidi" w:hAnsiTheme="minorBidi"/>
              </w:rPr>
            </w:pPr>
            <w:r w:rsidRPr="002E7DFC">
              <w:rPr>
                <w:rFonts w:asciiTheme="minorBidi" w:hAnsiTheme="minorBidi"/>
                <w:b/>
                <w:sz w:val="22"/>
              </w:rPr>
              <w:t>Dimension</w:t>
            </w:r>
          </w:p>
        </w:tc>
        <w:tc>
          <w:tcPr>
            <w:tcW w:w="3672" w:type="dxa"/>
            <w:tcBorders>
              <w:top w:val="single" w:sz="4" w:space="0" w:color="D9D9D9"/>
              <w:left w:val="single" w:sz="4" w:space="0" w:color="D9D9D9"/>
              <w:bottom w:val="single" w:sz="4" w:space="0" w:color="D9D9D9"/>
              <w:right w:val="single" w:sz="4" w:space="0" w:color="D9D9D9"/>
            </w:tcBorders>
            <w:shd w:val="clear" w:color="auto" w:fill="E8EEF2"/>
          </w:tcPr>
          <w:p w14:paraId="1E0C5CA5" w14:textId="77777777" w:rsidR="00D01F62" w:rsidRPr="002E7DFC" w:rsidRDefault="00000000">
            <w:pPr>
              <w:spacing w:before="100" w:line="276" w:lineRule="auto"/>
              <w:jc w:val="left"/>
              <w:rPr>
                <w:rFonts w:asciiTheme="minorBidi" w:hAnsiTheme="minorBidi"/>
              </w:rPr>
            </w:pPr>
            <w:r w:rsidRPr="002E7DFC">
              <w:rPr>
                <w:rFonts w:asciiTheme="minorBidi" w:hAnsiTheme="minorBidi"/>
                <w:b/>
                <w:sz w:val="22"/>
              </w:rPr>
              <w:t>Unit 6</w:t>
            </w:r>
          </w:p>
        </w:tc>
        <w:tc>
          <w:tcPr>
            <w:tcW w:w="4248" w:type="dxa"/>
            <w:tcBorders>
              <w:top w:val="single" w:sz="4" w:space="0" w:color="D9D9D9"/>
              <w:left w:val="single" w:sz="4" w:space="0" w:color="D9D9D9"/>
              <w:bottom w:val="single" w:sz="4" w:space="0" w:color="D9D9D9"/>
              <w:right w:val="single" w:sz="4" w:space="0" w:color="D9D9D9"/>
            </w:tcBorders>
            <w:shd w:val="clear" w:color="auto" w:fill="E8EEF2"/>
          </w:tcPr>
          <w:p w14:paraId="5B4AE6C1" w14:textId="77777777" w:rsidR="00D01F62" w:rsidRPr="002E7DFC" w:rsidRDefault="00000000">
            <w:pPr>
              <w:spacing w:before="100" w:line="276" w:lineRule="auto"/>
              <w:jc w:val="left"/>
              <w:rPr>
                <w:rFonts w:asciiTheme="minorBidi" w:hAnsiTheme="minorBidi"/>
              </w:rPr>
            </w:pPr>
            <w:r w:rsidRPr="002E7DFC">
              <w:rPr>
                <w:rFonts w:asciiTheme="minorBidi" w:hAnsiTheme="minorBidi"/>
                <w:b/>
                <w:sz w:val="22"/>
              </w:rPr>
              <w:t>Unit 11</w:t>
            </w:r>
          </w:p>
        </w:tc>
      </w:tr>
      <w:tr w:rsidR="00D01F62" w:rsidRPr="002E7DFC" w14:paraId="22265669"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40E7E16D"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Business scope</w:t>
            </w:r>
          </w:p>
        </w:tc>
        <w:tc>
          <w:tcPr>
            <w:tcW w:w="3672" w:type="dxa"/>
            <w:tcBorders>
              <w:top w:val="single" w:sz="4" w:space="0" w:color="D9D9D9"/>
              <w:left w:val="single" w:sz="4" w:space="0" w:color="D9D9D9"/>
              <w:bottom w:val="single" w:sz="4" w:space="0" w:color="D9D9D9"/>
              <w:right w:val="single" w:sz="4" w:space="0" w:color="D9D9D9"/>
            </w:tcBorders>
          </w:tcPr>
          <w:p w14:paraId="1ABFD6C9"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Selective pilot; retain local supply.</w:t>
            </w:r>
          </w:p>
        </w:tc>
        <w:tc>
          <w:tcPr>
            <w:tcW w:w="4248" w:type="dxa"/>
            <w:tcBorders>
              <w:top w:val="single" w:sz="4" w:space="0" w:color="D9D9D9"/>
              <w:left w:val="single" w:sz="4" w:space="0" w:color="D9D9D9"/>
              <w:bottom w:val="single" w:sz="4" w:space="0" w:color="D9D9D9"/>
              <w:right w:val="single" w:sz="4" w:space="0" w:color="D9D9D9"/>
            </w:tcBorders>
          </w:tcPr>
          <w:p w14:paraId="4C9F9BBC"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International procurement and automated warehouses imposed by the later brief.</w:t>
            </w:r>
          </w:p>
        </w:tc>
      </w:tr>
      <w:tr w:rsidR="00D01F62" w:rsidRPr="002E7DFC" w14:paraId="5C6F329E"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33CDCF30"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Method</w:t>
            </w:r>
          </w:p>
        </w:tc>
        <w:tc>
          <w:tcPr>
            <w:tcW w:w="3672" w:type="dxa"/>
            <w:tcBorders>
              <w:top w:val="single" w:sz="4" w:space="0" w:color="D9D9D9"/>
              <w:left w:val="single" w:sz="4" w:space="0" w:color="D9D9D9"/>
              <w:bottom w:val="single" w:sz="4" w:space="0" w:color="D9D9D9"/>
              <w:right w:val="single" w:sz="4" w:space="0" w:color="D9D9D9"/>
            </w:tcBorders>
          </w:tcPr>
          <w:p w14:paraId="7992447E"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Qualitative scenarios and technical threat categories.</w:t>
            </w:r>
          </w:p>
        </w:tc>
        <w:tc>
          <w:tcPr>
            <w:tcW w:w="4248" w:type="dxa"/>
            <w:tcBorders>
              <w:top w:val="single" w:sz="4" w:space="0" w:color="D9D9D9"/>
              <w:left w:val="single" w:sz="4" w:space="0" w:color="D9D9D9"/>
              <w:bottom w:val="single" w:sz="4" w:space="0" w:color="D9D9D9"/>
              <w:right w:val="single" w:sz="4" w:space="0" w:color="D9D9D9"/>
            </w:tcBorders>
          </w:tcPr>
          <w:p w14:paraId="7B5A90BA"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Conditional fault trees with explicit assumed inputs and sensitivity analysis.</w:t>
            </w:r>
          </w:p>
        </w:tc>
      </w:tr>
      <w:tr w:rsidR="00D01F62" w:rsidRPr="002E7DFC" w14:paraId="3E3F4192"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30F5CBC3"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Decision</w:t>
            </w:r>
          </w:p>
        </w:tc>
        <w:tc>
          <w:tcPr>
            <w:tcW w:w="3672" w:type="dxa"/>
            <w:tcBorders>
              <w:top w:val="single" w:sz="4" w:space="0" w:color="D9D9D9"/>
              <w:left w:val="single" w:sz="4" w:space="0" w:color="D9D9D9"/>
              <w:bottom w:val="single" w:sz="4" w:space="0" w:color="D9D9D9"/>
              <w:right w:val="single" w:sz="4" w:space="0" w:color="D9D9D9"/>
            </w:tcBorders>
          </w:tcPr>
          <w:p w14:paraId="6096D50D"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Proceed reversibly against pilot criteria.</w:t>
            </w:r>
          </w:p>
        </w:tc>
        <w:tc>
          <w:tcPr>
            <w:tcW w:w="4248" w:type="dxa"/>
            <w:tcBorders>
              <w:top w:val="single" w:sz="4" w:space="0" w:color="D9D9D9"/>
              <w:left w:val="single" w:sz="4" w:space="0" w:color="D9D9D9"/>
              <w:bottom w:val="single" w:sz="4" w:space="0" w:color="D9D9D9"/>
              <w:right w:val="single" w:sz="4" w:space="0" w:color="D9D9D9"/>
            </w:tcBorders>
          </w:tcPr>
          <w:p w14:paraId="15782C11"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Expansion conditional on product protection, supply assurance and recovery verification.</w:t>
            </w:r>
          </w:p>
        </w:tc>
      </w:tr>
      <w:tr w:rsidR="00D01F62" w:rsidRPr="002E7DFC" w14:paraId="5EF6A930"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1BC35D20"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Remaining gap</w:t>
            </w:r>
          </w:p>
        </w:tc>
        <w:tc>
          <w:tcPr>
            <w:tcW w:w="3672" w:type="dxa"/>
            <w:tcBorders>
              <w:top w:val="single" w:sz="4" w:space="0" w:color="D9D9D9"/>
              <w:left w:val="single" w:sz="4" w:space="0" w:color="D9D9D9"/>
              <w:bottom w:val="single" w:sz="4" w:space="0" w:color="D9D9D9"/>
              <w:right w:val="single" w:sz="4" w:space="0" w:color="D9D9D9"/>
            </w:tcBorders>
          </w:tcPr>
          <w:p w14:paraId="30D85B5C"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Undefined scales; incomplete ownership and residual-risk detail.</w:t>
            </w:r>
          </w:p>
        </w:tc>
        <w:tc>
          <w:tcPr>
            <w:tcW w:w="4248" w:type="dxa"/>
            <w:tcBorders>
              <w:top w:val="single" w:sz="4" w:space="0" w:color="D9D9D9"/>
              <w:left w:val="single" w:sz="4" w:space="0" w:color="D9D9D9"/>
              <w:bottom w:val="single" w:sz="4" w:space="0" w:color="D9D9D9"/>
              <w:right w:val="single" w:sz="4" w:space="0" w:color="D9D9D9"/>
            </w:tcBorders>
          </w:tcPr>
          <w:p w14:paraId="77359DE1"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Control calibration, denominator translation and database quorum design need improvement.</w:t>
            </w:r>
          </w:p>
        </w:tc>
      </w:tr>
    </w:tbl>
    <w:p w14:paraId="37C5785F" w14:textId="77777777" w:rsidR="00D01F62" w:rsidRPr="002E7DFC" w:rsidRDefault="00000000">
      <w:pPr>
        <w:rPr>
          <w:rFonts w:asciiTheme="minorBidi" w:hAnsiTheme="minorBidi"/>
        </w:rPr>
      </w:pPr>
      <w:r w:rsidRPr="002E7DFC">
        <w:rPr>
          <w:rFonts w:asciiTheme="minorBidi" w:hAnsiTheme="minorBidi"/>
        </w:rPr>
        <w:t>Recalculation of E2 reproduces 5.06% quality exposure per delivered batch and 19.47% qualifying supply disruption per month. Its improved scenario gives 2.23% and 9.18%. These are results of assumed inputs, not observed incident frequencies or verified control benefits. The sensitivity ranges are scenarios, not confidence intervals.</w:t>
      </w:r>
    </w:p>
    <w:p w14:paraId="2DA79780" w14:textId="77777777" w:rsidR="00D01F62" w:rsidRPr="002E7DFC" w:rsidRDefault="00000000">
      <w:pPr>
        <w:pStyle w:val="Heading1"/>
        <w:rPr>
          <w:rFonts w:asciiTheme="minorBidi" w:hAnsiTheme="minorBidi" w:cstheme="minorBidi"/>
        </w:rPr>
      </w:pPr>
      <w:r w:rsidRPr="002E7DFC">
        <w:rPr>
          <w:rFonts w:asciiTheme="minorBidi" w:hAnsiTheme="minorBidi" w:cstheme="minorBidi"/>
        </w:rPr>
        <w:lastRenderedPageBreak/>
        <w:t>3 Unit learning and evidence map</w:t>
      </w:r>
    </w:p>
    <w:p w14:paraId="116BCBD1" w14:textId="77777777" w:rsidR="00D01F62" w:rsidRPr="002E7DFC" w:rsidRDefault="00000000">
      <w:pPr>
        <w:rPr>
          <w:rFonts w:asciiTheme="minorBidi" w:hAnsiTheme="minorBidi"/>
        </w:rPr>
      </w:pPr>
      <w:r w:rsidRPr="002E7DFC">
        <w:rPr>
          <w:rFonts w:asciiTheme="minorBidi" w:hAnsiTheme="minorBidi"/>
        </w:rPr>
        <w:t>The detailed weekly activity schedule was not supplied. Units 1–5 and 7–10 below form an illustrative practice sequence linked to the reports, not an asserted official syllabus or a set of dated submissions. Original Unit 6 and Unit 11 artefacts are available; the remaining weekly records need adding if they exist.</w:t>
      </w:r>
    </w:p>
    <w:tbl>
      <w:tblPr>
        <w:tblW w:w="0" w:type="auto"/>
        <w:tblLayout w:type="fixed"/>
        <w:tblLook w:val="04A0" w:firstRow="1" w:lastRow="0" w:firstColumn="1" w:lastColumn="0" w:noHBand="0" w:noVBand="1"/>
      </w:tblPr>
      <w:tblGrid>
        <w:gridCol w:w="648"/>
        <w:gridCol w:w="1944"/>
        <w:gridCol w:w="6768"/>
      </w:tblGrid>
      <w:tr w:rsidR="00D01F62" w:rsidRPr="002E7DFC" w14:paraId="5EFB9FBB" w14:textId="77777777">
        <w:trPr>
          <w:tblHeader/>
        </w:trPr>
        <w:tc>
          <w:tcPr>
            <w:tcW w:w="648" w:type="dxa"/>
            <w:tcBorders>
              <w:top w:val="single" w:sz="4" w:space="0" w:color="D9D9D9"/>
              <w:left w:val="single" w:sz="4" w:space="0" w:color="D9D9D9"/>
              <w:bottom w:val="single" w:sz="4" w:space="0" w:color="D9D9D9"/>
              <w:right w:val="single" w:sz="4" w:space="0" w:color="D9D9D9"/>
            </w:tcBorders>
            <w:shd w:val="clear" w:color="auto" w:fill="E8EEF2"/>
          </w:tcPr>
          <w:p w14:paraId="6F76BAE2" w14:textId="77777777" w:rsidR="00D01F62" w:rsidRPr="002E7DFC" w:rsidRDefault="00000000">
            <w:pPr>
              <w:spacing w:before="100" w:line="276" w:lineRule="auto"/>
              <w:jc w:val="left"/>
              <w:rPr>
                <w:rFonts w:asciiTheme="minorBidi" w:hAnsiTheme="minorBidi"/>
              </w:rPr>
            </w:pPr>
            <w:r w:rsidRPr="002E7DFC">
              <w:rPr>
                <w:rFonts w:asciiTheme="minorBidi" w:hAnsiTheme="minorBidi"/>
                <w:b/>
                <w:sz w:val="22"/>
              </w:rPr>
              <w:t>Unit</w:t>
            </w:r>
          </w:p>
        </w:tc>
        <w:tc>
          <w:tcPr>
            <w:tcW w:w="1944" w:type="dxa"/>
            <w:tcBorders>
              <w:top w:val="single" w:sz="4" w:space="0" w:color="D9D9D9"/>
              <w:left w:val="single" w:sz="4" w:space="0" w:color="D9D9D9"/>
              <w:bottom w:val="single" w:sz="4" w:space="0" w:color="D9D9D9"/>
              <w:right w:val="single" w:sz="4" w:space="0" w:color="D9D9D9"/>
            </w:tcBorders>
            <w:shd w:val="clear" w:color="auto" w:fill="E8EEF2"/>
          </w:tcPr>
          <w:p w14:paraId="38EC6584" w14:textId="77777777" w:rsidR="00D01F62" w:rsidRPr="002E7DFC" w:rsidRDefault="00000000">
            <w:pPr>
              <w:spacing w:before="100" w:line="276" w:lineRule="auto"/>
              <w:jc w:val="left"/>
              <w:rPr>
                <w:rFonts w:asciiTheme="minorBidi" w:hAnsiTheme="minorBidi"/>
              </w:rPr>
            </w:pPr>
            <w:r w:rsidRPr="002E7DFC">
              <w:rPr>
                <w:rFonts w:asciiTheme="minorBidi" w:hAnsiTheme="minorBidi"/>
                <w:b/>
                <w:sz w:val="22"/>
              </w:rPr>
              <w:t>Theme</w:t>
            </w:r>
          </w:p>
        </w:tc>
        <w:tc>
          <w:tcPr>
            <w:tcW w:w="6768" w:type="dxa"/>
            <w:tcBorders>
              <w:top w:val="single" w:sz="4" w:space="0" w:color="D9D9D9"/>
              <w:left w:val="single" w:sz="4" w:space="0" w:color="D9D9D9"/>
              <w:bottom w:val="single" w:sz="4" w:space="0" w:color="D9D9D9"/>
              <w:right w:val="single" w:sz="4" w:space="0" w:color="D9D9D9"/>
            </w:tcBorders>
            <w:shd w:val="clear" w:color="auto" w:fill="E8EEF2"/>
          </w:tcPr>
          <w:p w14:paraId="5FFF44B4" w14:textId="77777777" w:rsidR="00D01F62" w:rsidRPr="002E7DFC" w:rsidRDefault="00000000">
            <w:pPr>
              <w:spacing w:before="100" w:line="276" w:lineRule="auto"/>
              <w:jc w:val="left"/>
              <w:rPr>
                <w:rFonts w:asciiTheme="minorBidi" w:hAnsiTheme="minorBidi"/>
              </w:rPr>
            </w:pPr>
            <w:r w:rsidRPr="002E7DFC">
              <w:rPr>
                <w:rFonts w:asciiTheme="minorBidi" w:hAnsiTheme="minorBidi"/>
                <w:b/>
                <w:sz w:val="22"/>
              </w:rPr>
              <w:t>Answer and evidence status</w:t>
            </w:r>
          </w:p>
        </w:tc>
      </w:tr>
      <w:tr w:rsidR="00D01F62" w:rsidRPr="002E7DFC" w14:paraId="63698C87"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762BA9D0"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1</w:t>
            </w:r>
          </w:p>
        </w:tc>
        <w:tc>
          <w:tcPr>
            <w:tcW w:w="1944" w:type="dxa"/>
            <w:tcBorders>
              <w:top w:val="single" w:sz="4" w:space="0" w:color="D9D9D9"/>
              <w:left w:val="single" w:sz="4" w:space="0" w:color="D9D9D9"/>
              <w:bottom w:val="single" w:sz="4" w:space="0" w:color="D9D9D9"/>
              <w:right w:val="single" w:sz="4" w:space="0" w:color="D9D9D9"/>
            </w:tcBorders>
          </w:tcPr>
          <w:p w14:paraId="041E8B73"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Assets and objectives</w:t>
            </w:r>
          </w:p>
        </w:tc>
        <w:tc>
          <w:tcPr>
            <w:tcW w:w="6768" w:type="dxa"/>
            <w:tcBorders>
              <w:top w:val="single" w:sz="4" w:space="0" w:color="D9D9D9"/>
              <w:left w:val="single" w:sz="4" w:space="0" w:color="D9D9D9"/>
              <w:bottom w:val="single" w:sz="4" w:space="0" w:color="D9D9D9"/>
              <w:right w:val="single" w:sz="4" w:space="0" w:color="D9D9D9"/>
            </w:tcBorders>
          </w:tcPr>
          <w:p w14:paraId="22D86A0F"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Identify product quality, customer information and stock visibility as assets. A useful risk statement connects an asset, threat, vulnerability and business consequence.</w:t>
            </w:r>
          </w:p>
        </w:tc>
      </w:tr>
      <w:tr w:rsidR="00D01F62" w:rsidRPr="002E7DFC" w14:paraId="2B81206C"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6340F108"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2</w:t>
            </w:r>
          </w:p>
        </w:tc>
        <w:tc>
          <w:tcPr>
            <w:tcW w:w="1944" w:type="dxa"/>
            <w:tcBorders>
              <w:top w:val="single" w:sz="4" w:space="0" w:color="D9D9D9"/>
              <w:left w:val="single" w:sz="4" w:space="0" w:color="D9D9D9"/>
              <w:bottom w:val="single" w:sz="4" w:space="0" w:color="D9D9D9"/>
              <w:right w:val="single" w:sz="4" w:space="0" w:color="D9D9D9"/>
            </w:tcBorders>
          </w:tcPr>
          <w:p w14:paraId="4D6B9F84"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Qualitative assessment</w:t>
            </w:r>
          </w:p>
        </w:tc>
        <w:tc>
          <w:tcPr>
            <w:tcW w:w="6768" w:type="dxa"/>
            <w:tcBorders>
              <w:top w:val="single" w:sz="4" w:space="0" w:color="D9D9D9"/>
              <w:left w:val="single" w:sz="4" w:space="0" w:color="D9D9D9"/>
              <w:bottom w:val="single" w:sz="4" w:space="0" w:color="D9D9D9"/>
              <w:right w:val="single" w:sz="4" w:space="0" w:color="D9D9D9"/>
            </w:tcBorders>
          </w:tcPr>
          <w:p w14:paraId="34D35C1A"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Define a likelihood horizon and impact thresholds before assigning ratings. The group feedback identifies this as an improvement; no historical scale exercise was supplied.</w:t>
            </w:r>
          </w:p>
        </w:tc>
      </w:tr>
      <w:tr w:rsidR="00D01F62" w:rsidRPr="002E7DFC" w14:paraId="41B907CB"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13C593F2"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3</w:t>
            </w:r>
          </w:p>
        </w:tc>
        <w:tc>
          <w:tcPr>
            <w:tcW w:w="1944" w:type="dxa"/>
            <w:tcBorders>
              <w:top w:val="single" w:sz="4" w:space="0" w:color="D9D9D9"/>
              <w:left w:val="single" w:sz="4" w:space="0" w:color="D9D9D9"/>
              <w:bottom w:val="single" w:sz="4" w:space="0" w:color="D9D9D9"/>
              <w:right w:val="single" w:sz="4" w:space="0" w:color="D9D9D9"/>
            </w:tcBorders>
          </w:tcPr>
          <w:p w14:paraId="1DC9740C"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STRIDE</w:t>
            </w:r>
          </w:p>
        </w:tc>
        <w:tc>
          <w:tcPr>
            <w:tcW w:w="6768" w:type="dxa"/>
            <w:tcBorders>
              <w:top w:val="single" w:sz="4" w:space="0" w:color="D9D9D9"/>
              <w:left w:val="single" w:sz="4" w:space="0" w:color="D9D9D9"/>
              <w:bottom w:val="single" w:sz="4" w:space="0" w:color="D9D9D9"/>
              <w:right w:val="single" w:sz="4" w:space="0" w:color="D9D9D9"/>
            </w:tcBorders>
          </w:tcPr>
          <w:p w14:paraId="5475AEA0"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Map spoofing, tampering, repudiation, disclosure, denial of service and privilege escalation to specific flows. Treat food safety through complementary operational scenarios.</w:t>
            </w:r>
          </w:p>
        </w:tc>
      </w:tr>
      <w:tr w:rsidR="00D01F62" w:rsidRPr="002E7DFC" w14:paraId="5D8F6CA6"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726CBE26"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4</w:t>
            </w:r>
          </w:p>
        </w:tc>
        <w:tc>
          <w:tcPr>
            <w:tcW w:w="1944" w:type="dxa"/>
            <w:tcBorders>
              <w:top w:val="single" w:sz="4" w:space="0" w:color="D9D9D9"/>
              <w:left w:val="single" w:sz="4" w:space="0" w:color="D9D9D9"/>
              <w:bottom w:val="single" w:sz="4" w:space="0" w:color="D9D9D9"/>
              <w:right w:val="single" w:sz="4" w:space="0" w:color="D9D9D9"/>
            </w:tcBorders>
          </w:tcPr>
          <w:p w14:paraId="50C7BBFA"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Options and uncertainty</w:t>
            </w:r>
          </w:p>
        </w:tc>
        <w:tc>
          <w:tcPr>
            <w:tcW w:w="6768" w:type="dxa"/>
            <w:tcBorders>
              <w:top w:val="single" w:sz="4" w:space="0" w:color="D9D9D9"/>
              <w:left w:val="single" w:sz="4" w:space="0" w:color="D9D9D9"/>
              <w:bottom w:val="single" w:sz="4" w:space="0" w:color="D9D9D9"/>
              <w:right w:val="single" w:sz="4" w:space="0" w:color="D9D9D9"/>
            </w:tcBorders>
          </w:tcPr>
          <w:p w14:paraId="19834F8C"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Compare the existing operation with selective digitalisation. Test the 50%, 24% and 33% claims as assumptions, not established business forecasts.</w:t>
            </w:r>
          </w:p>
        </w:tc>
      </w:tr>
      <w:tr w:rsidR="00D01F62" w:rsidRPr="002E7DFC" w14:paraId="012B68B5"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6247FE62"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5</w:t>
            </w:r>
          </w:p>
        </w:tc>
        <w:tc>
          <w:tcPr>
            <w:tcW w:w="1944" w:type="dxa"/>
            <w:tcBorders>
              <w:top w:val="single" w:sz="4" w:space="0" w:color="D9D9D9"/>
              <w:left w:val="single" w:sz="4" w:space="0" w:color="D9D9D9"/>
              <w:bottom w:val="single" w:sz="4" w:space="0" w:color="D9D9D9"/>
              <w:right w:val="single" w:sz="4" w:space="0" w:color="D9D9D9"/>
            </w:tcBorders>
          </w:tcPr>
          <w:p w14:paraId="7EF6ECE2"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Controls and ownership</w:t>
            </w:r>
          </w:p>
        </w:tc>
        <w:tc>
          <w:tcPr>
            <w:tcW w:w="6768" w:type="dxa"/>
            <w:tcBorders>
              <w:top w:val="single" w:sz="4" w:space="0" w:color="D9D9D9"/>
              <w:left w:val="single" w:sz="4" w:space="0" w:color="D9D9D9"/>
              <w:bottom w:val="single" w:sz="4" w:space="0" w:color="D9D9D9"/>
              <w:right w:val="single" w:sz="4" w:space="0" w:color="D9D9D9"/>
            </w:tcBorders>
          </w:tcPr>
          <w:p w14:paraId="61EAA0E5"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Assign an accountable owner, deadline and verification method. Planned MFA or backups do not establish that the controls operate effectively.</w:t>
            </w:r>
          </w:p>
        </w:tc>
      </w:tr>
      <w:tr w:rsidR="00D01F62" w:rsidRPr="002E7DFC" w14:paraId="67677A61"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795C905D"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6</w:t>
            </w:r>
          </w:p>
        </w:tc>
        <w:tc>
          <w:tcPr>
            <w:tcW w:w="1944" w:type="dxa"/>
            <w:tcBorders>
              <w:top w:val="single" w:sz="4" w:space="0" w:color="D9D9D9"/>
              <w:left w:val="single" w:sz="4" w:space="0" w:color="D9D9D9"/>
              <w:bottom w:val="single" w:sz="4" w:space="0" w:color="D9D9D9"/>
              <w:right w:val="single" w:sz="4" w:space="0" w:color="D9D9D9"/>
            </w:tcBorders>
          </w:tcPr>
          <w:p w14:paraId="6F1B2ADB"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Group report</w:t>
            </w:r>
          </w:p>
        </w:tc>
        <w:tc>
          <w:tcPr>
            <w:tcW w:w="6768" w:type="dxa"/>
            <w:tcBorders>
              <w:top w:val="single" w:sz="4" w:space="0" w:color="D9D9D9"/>
              <w:left w:val="single" w:sz="4" w:space="0" w:color="D9D9D9"/>
              <w:bottom w:val="single" w:sz="4" w:space="0" w:color="D9D9D9"/>
              <w:right w:val="single" w:sz="4" w:space="0" w:color="D9D9D9"/>
            </w:tcBorders>
          </w:tcPr>
          <w:p w14:paraId="00480EAC"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Original artefact supplied. Noora’s peer account identifies the phased recommendation as her contribution. Tutor feedback records 77% and requests a transparent risk register.</w:t>
            </w:r>
          </w:p>
        </w:tc>
      </w:tr>
      <w:tr w:rsidR="00D01F62" w:rsidRPr="002E7DFC" w14:paraId="0069F146"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07CEC74A"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7</w:t>
            </w:r>
          </w:p>
        </w:tc>
        <w:tc>
          <w:tcPr>
            <w:tcW w:w="1944" w:type="dxa"/>
            <w:tcBorders>
              <w:top w:val="single" w:sz="4" w:space="0" w:color="D9D9D9"/>
              <w:left w:val="single" w:sz="4" w:space="0" w:color="D9D9D9"/>
              <w:bottom w:val="single" w:sz="4" w:space="0" w:color="D9D9D9"/>
              <w:right w:val="single" w:sz="4" w:space="0" w:color="D9D9D9"/>
            </w:tcBorders>
          </w:tcPr>
          <w:p w14:paraId="22C020E6"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Quantitative definitions</w:t>
            </w:r>
          </w:p>
        </w:tc>
        <w:tc>
          <w:tcPr>
            <w:tcW w:w="6768" w:type="dxa"/>
            <w:tcBorders>
              <w:top w:val="single" w:sz="4" w:space="0" w:color="D9D9D9"/>
              <w:left w:val="single" w:sz="4" w:space="0" w:color="D9D9D9"/>
              <w:bottom w:val="single" w:sz="4" w:space="0" w:color="D9D9D9"/>
              <w:right w:val="single" w:sz="4" w:space="0" w:color="D9D9D9"/>
            </w:tcBorders>
          </w:tcPr>
          <w:p w14:paraId="3FBAE82E"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Define quality failure per delivered batch and qualifying disruption per month. Keep these denominators separate when explaining results.</w:t>
            </w:r>
          </w:p>
        </w:tc>
      </w:tr>
      <w:tr w:rsidR="00D01F62" w:rsidRPr="002E7DFC" w14:paraId="17623D0F"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7B59C59F"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8</w:t>
            </w:r>
          </w:p>
        </w:tc>
        <w:tc>
          <w:tcPr>
            <w:tcW w:w="1944" w:type="dxa"/>
            <w:tcBorders>
              <w:top w:val="single" w:sz="4" w:space="0" w:color="D9D9D9"/>
              <w:left w:val="single" w:sz="4" w:space="0" w:color="D9D9D9"/>
              <w:bottom w:val="single" w:sz="4" w:space="0" w:color="D9D9D9"/>
              <w:right w:val="single" w:sz="4" w:space="0" w:color="D9D9D9"/>
            </w:tcBorders>
          </w:tcPr>
          <w:p w14:paraId="3DFF51A2"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Conditional fault trees</w:t>
            </w:r>
          </w:p>
        </w:tc>
        <w:tc>
          <w:tcPr>
            <w:tcW w:w="6768" w:type="dxa"/>
            <w:tcBorders>
              <w:top w:val="single" w:sz="4" w:space="0" w:color="D9D9D9"/>
              <w:left w:val="single" w:sz="4" w:space="0" w:color="D9D9D9"/>
              <w:bottom w:val="single" w:sz="4" w:space="0" w:color="D9D9D9"/>
              <w:right w:val="single" w:sz="4" w:space="0" w:color="D9D9D9"/>
            </w:tcBorders>
          </w:tcPr>
          <w:p w14:paraId="06EB993C"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Use one minus the product of complements within each assumed condition, then weight normal and stressed conditions. Independence remains an assumption.</w:t>
            </w:r>
          </w:p>
        </w:tc>
      </w:tr>
      <w:tr w:rsidR="00D01F62" w:rsidRPr="002E7DFC" w14:paraId="0E4E5D77"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2ECD2D03"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lastRenderedPageBreak/>
              <w:t>9</w:t>
            </w:r>
          </w:p>
        </w:tc>
        <w:tc>
          <w:tcPr>
            <w:tcW w:w="1944" w:type="dxa"/>
            <w:tcBorders>
              <w:top w:val="single" w:sz="4" w:space="0" w:color="D9D9D9"/>
              <w:left w:val="single" w:sz="4" w:space="0" w:color="D9D9D9"/>
              <w:bottom w:val="single" w:sz="4" w:space="0" w:color="D9D9D9"/>
              <w:right w:val="single" w:sz="4" w:space="0" w:color="D9D9D9"/>
            </w:tcBorders>
          </w:tcPr>
          <w:p w14:paraId="10448749"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Control sensitivity</w:t>
            </w:r>
          </w:p>
        </w:tc>
        <w:tc>
          <w:tcPr>
            <w:tcW w:w="6768" w:type="dxa"/>
            <w:tcBorders>
              <w:top w:val="single" w:sz="4" w:space="0" w:color="D9D9D9"/>
              <w:left w:val="single" w:sz="4" w:space="0" w:color="D9D9D9"/>
              <w:bottom w:val="single" w:sz="4" w:space="0" w:color="D9D9D9"/>
              <w:right w:val="single" w:sz="4" w:space="0" w:color="D9D9D9"/>
            </w:tcBorders>
          </w:tcPr>
          <w:p w14:paraId="3006C207"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Vary stress and individual event inputs. The executive-summary feedback requests control-specific evidence instead of uniformly halving every probability.</w:t>
            </w:r>
          </w:p>
        </w:tc>
      </w:tr>
      <w:tr w:rsidR="00D01F62" w:rsidRPr="002E7DFC" w14:paraId="41DD5D22"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6F644651"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10</w:t>
            </w:r>
          </w:p>
        </w:tc>
        <w:tc>
          <w:tcPr>
            <w:tcW w:w="1944" w:type="dxa"/>
            <w:tcBorders>
              <w:top w:val="single" w:sz="4" w:space="0" w:color="D9D9D9"/>
              <w:left w:val="single" w:sz="4" w:space="0" w:color="D9D9D9"/>
              <w:bottom w:val="single" w:sz="4" w:space="0" w:color="D9D9D9"/>
              <w:right w:val="single" w:sz="4" w:space="0" w:color="D9D9D9"/>
            </w:tcBorders>
          </w:tcPr>
          <w:p w14:paraId="74EA7215"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Continuity and recovery</w:t>
            </w:r>
          </w:p>
        </w:tc>
        <w:tc>
          <w:tcPr>
            <w:tcW w:w="6768" w:type="dxa"/>
            <w:tcBorders>
              <w:top w:val="single" w:sz="4" w:space="0" w:color="D9D9D9"/>
              <w:left w:val="single" w:sz="4" w:space="0" w:color="D9D9D9"/>
              <w:bottom w:val="single" w:sz="4" w:space="0" w:color="D9D9D9"/>
              <w:right w:val="single" w:sz="4" w:space="0" w:color="D9D9D9"/>
            </w:tcBorders>
          </w:tcPr>
          <w:p w14:paraId="612775C1"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Separate the under-60-second interruption target from the maximum-60-second data-loss target. Test the complete transaction path and corruption recovery separately.</w:t>
            </w:r>
          </w:p>
        </w:tc>
      </w:tr>
      <w:tr w:rsidR="00D01F62" w:rsidRPr="002E7DFC" w14:paraId="50006D1F"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644AAA08"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11</w:t>
            </w:r>
          </w:p>
        </w:tc>
        <w:tc>
          <w:tcPr>
            <w:tcW w:w="1944" w:type="dxa"/>
            <w:tcBorders>
              <w:top w:val="single" w:sz="4" w:space="0" w:color="D9D9D9"/>
              <w:left w:val="single" w:sz="4" w:space="0" w:color="D9D9D9"/>
              <w:bottom w:val="single" w:sz="4" w:space="0" w:color="D9D9D9"/>
              <w:right w:val="single" w:sz="4" w:space="0" w:color="D9D9D9"/>
            </w:tcBorders>
          </w:tcPr>
          <w:p w14:paraId="1F69D617"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Individual summary</w:t>
            </w:r>
          </w:p>
        </w:tc>
        <w:tc>
          <w:tcPr>
            <w:tcW w:w="6768" w:type="dxa"/>
            <w:tcBorders>
              <w:top w:val="single" w:sz="4" w:space="0" w:color="D9D9D9"/>
              <w:left w:val="single" w:sz="4" w:space="0" w:color="D9D9D9"/>
              <w:bottom w:val="single" w:sz="4" w:space="0" w:color="D9D9D9"/>
              <w:right w:val="single" w:sz="4" w:space="0" w:color="D9D9D9"/>
            </w:tcBorders>
          </w:tcPr>
          <w:p w14:paraId="3A46FA63"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Original artefact supplied. Feedback records 74%, praising defined calculations while requesting explicit quorum design, current technical sources and clearer results presentation.</w:t>
            </w:r>
          </w:p>
        </w:tc>
      </w:tr>
      <w:tr w:rsidR="00D01F62" w:rsidRPr="002E7DFC" w14:paraId="704FF809" w14:textId="77777777">
        <w:trPr>
          <w:cantSplit/>
        </w:trPr>
        <w:tc>
          <w:tcPr>
            <w:tcW w:w="648" w:type="dxa"/>
            <w:tcBorders>
              <w:top w:val="single" w:sz="4" w:space="0" w:color="D9D9D9"/>
              <w:left w:val="single" w:sz="4" w:space="0" w:color="D9D9D9"/>
              <w:bottom w:val="single" w:sz="4" w:space="0" w:color="D9D9D9"/>
              <w:right w:val="single" w:sz="4" w:space="0" w:color="D9D9D9"/>
            </w:tcBorders>
          </w:tcPr>
          <w:p w14:paraId="3B673134"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12</w:t>
            </w:r>
          </w:p>
        </w:tc>
        <w:tc>
          <w:tcPr>
            <w:tcW w:w="1944" w:type="dxa"/>
            <w:tcBorders>
              <w:top w:val="single" w:sz="4" w:space="0" w:color="D9D9D9"/>
              <w:left w:val="single" w:sz="4" w:space="0" w:color="D9D9D9"/>
              <w:bottom w:val="single" w:sz="4" w:space="0" w:color="D9D9D9"/>
              <w:right w:val="single" w:sz="4" w:space="0" w:color="D9D9D9"/>
            </w:tcBorders>
          </w:tcPr>
          <w:p w14:paraId="00D763CC"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Reflection and evidence</w:t>
            </w:r>
          </w:p>
        </w:tc>
        <w:tc>
          <w:tcPr>
            <w:tcW w:w="6768" w:type="dxa"/>
            <w:tcBorders>
              <w:top w:val="single" w:sz="4" w:space="0" w:color="D9D9D9"/>
              <w:left w:val="single" w:sz="4" w:space="0" w:color="D9D9D9"/>
              <w:bottom w:val="single" w:sz="4" w:space="0" w:color="D9D9D9"/>
              <w:right w:val="single" w:sz="4" w:space="0" w:color="D9D9D9"/>
            </w:tcBorders>
          </w:tcPr>
          <w:p w14:paraId="621C3CA9"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Use the reports, peer account and feedback to evaluate change. Add genuine weekly artefacts where available; newly prepared notes do not establish earlier participation.</w:t>
            </w:r>
          </w:p>
        </w:tc>
      </w:tr>
    </w:tbl>
    <w:p w14:paraId="46EB5200" w14:textId="77777777" w:rsidR="00D01F62" w:rsidRPr="002E7DFC" w:rsidRDefault="00000000">
      <w:pPr>
        <w:pStyle w:val="Heading1"/>
        <w:rPr>
          <w:rFonts w:asciiTheme="minorBidi" w:hAnsiTheme="minorBidi" w:cstheme="minorBidi"/>
        </w:rPr>
      </w:pPr>
      <w:r w:rsidRPr="002E7DFC">
        <w:rPr>
          <w:rFonts w:asciiTheme="minorBidi" w:hAnsiTheme="minorBidi" w:cstheme="minorBidi"/>
        </w:rPr>
        <w:t>4 Action and assurance plan</w:t>
      </w:r>
    </w:p>
    <w:p w14:paraId="4CB5B705" w14:textId="77777777" w:rsidR="00D01F62" w:rsidRPr="002E7DFC" w:rsidRDefault="00000000">
      <w:pPr>
        <w:rPr>
          <w:rFonts w:asciiTheme="minorBidi" w:hAnsiTheme="minorBidi"/>
        </w:rPr>
      </w:pPr>
      <w:r w:rsidRPr="002E7DFC">
        <w:rPr>
          <w:rFonts w:asciiTheme="minorBidi" w:hAnsiTheme="minorBidi"/>
        </w:rPr>
        <w:t>The following proposed controls address feedback; they are not completed remediation. The first review should use defined qualitative scales and retain uncertainty rather than assign unsupported residual scores.</w:t>
      </w:r>
    </w:p>
    <w:tbl>
      <w:tblPr>
        <w:tblW w:w="0" w:type="auto"/>
        <w:tblLayout w:type="fixed"/>
        <w:tblLook w:val="04A0" w:firstRow="1" w:lastRow="0" w:firstColumn="1" w:lastColumn="0" w:noHBand="0" w:noVBand="1"/>
      </w:tblPr>
      <w:tblGrid>
        <w:gridCol w:w="1944"/>
        <w:gridCol w:w="3960"/>
        <w:gridCol w:w="3456"/>
      </w:tblGrid>
      <w:tr w:rsidR="00D01F62" w:rsidRPr="002E7DFC" w14:paraId="04C4D090" w14:textId="77777777">
        <w:trPr>
          <w:tblHeader/>
        </w:trPr>
        <w:tc>
          <w:tcPr>
            <w:tcW w:w="1944" w:type="dxa"/>
            <w:tcBorders>
              <w:top w:val="single" w:sz="4" w:space="0" w:color="D9D9D9"/>
              <w:left w:val="single" w:sz="4" w:space="0" w:color="D9D9D9"/>
              <w:bottom w:val="single" w:sz="4" w:space="0" w:color="D9D9D9"/>
              <w:right w:val="single" w:sz="4" w:space="0" w:color="D9D9D9"/>
            </w:tcBorders>
            <w:shd w:val="clear" w:color="auto" w:fill="E8EEF2"/>
          </w:tcPr>
          <w:p w14:paraId="723B1FAB" w14:textId="77777777" w:rsidR="00D01F62" w:rsidRPr="002E7DFC" w:rsidRDefault="00000000">
            <w:pPr>
              <w:spacing w:before="100" w:line="276" w:lineRule="auto"/>
              <w:jc w:val="left"/>
              <w:rPr>
                <w:rFonts w:asciiTheme="minorBidi" w:hAnsiTheme="minorBidi"/>
              </w:rPr>
            </w:pPr>
            <w:r w:rsidRPr="002E7DFC">
              <w:rPr>
                <w:rFonts w:asciiTheme="minorBidi" w:hAnsiTheme="minorBidi"/>
                <w:b/>
                <w:sz w:val="22"/>
              </w:rPr>
              <w:t>Risk</w:t>
            </w:r>
          </w:p>
        </w:tc>
        <w:tc>
          <w:tcPr>
            <w:tcW w:w="3960" w:type="dxa"/>
            <w:tcBorders>
              <w:top w:val="single" w:sz="4" w:space="0" w:color="D9D9D9"/>
              <w:left w:val="single" w:sz="4" w:space="0" w:color="D9D9D9"/>
              <w:bottom w:val="single" w:sz="4" w:space="0" w:color="D9D9D9"/>
              <w:right w:val="single" w:sz="4" w:space="0" w:color="D9D9D9"/>
            </w:tcBorders>
            <w:shd w:val="clear" w:color="auto" w:fill="E8EEF2"/>
          </w:tcPr>
          <w:p w14:paraId="613ACFB1" w14:textId="77777777" w:rsidR="00D01F62" w:rsidRPr="002E7DFC" w:rsidRDefault="00000000">
            <w:pPr>
              <w:spacing w:before="100" w:line="276" w:lineRule="auto"/>
              <w:jc w:val="left"/>
              <w:rPr>
                <w:rFonts w:asciiTheme="minorBidi" w:hAnsiTheme="minorBidi"/>
              </w:rPr>
            </w:pPr>
            <w:r w:rsidRPr="002E7DFC">
              <w:rPr>
                <w:rFonts w:asciiTheme="minorBidi" w:hAnsiTheme="minorBidi"/>
                <w:b/>
                <w:sz w:val="22"/>
              </w:rPr>
              <w:t>Proposed owner and action</w:t>
            </w:r>
          </w:p>
        </w:tc>
        <w:tc>
          <w:tcPr>
            <w:tcW w:w="3456" w:type="dxa"/>
            <w:tcBorders>
              <w:top w:val="single" w:sz="4" w:space="0" w:color="D9D9D9"/>
              <w:left w:val="single" w:sz="4" w:space="0" w:color="D9D9D9"/>
              <w:bottom w:val="single" w:sz="4" w:space="0" w:color="D9D9D9"/>
              <w:right w:val="single" w:sz="4" w:space="0" w:color="D9D9D9"/>
            </w:tcBorders>
            <w:shd w:val="clear" w:color="auto" w:fill="E8EEF2"/>
          </w:tcPr>
          <w:p w14:paraId="283E9AC9" w14:textId="77777777" w:rsidR="00D01F62" w:rsidRPr="002E7DFC" w:rsidRDefault="00000000">
            <w:pPr>
              <w:spacing w:before="100" w:line="276" w:lineRule="auto"/>
              <w:jc w:val="left"/>
              <w:rPr>
                <w:rFonts w:asciiTheme="minorBidi" w:hAnsiTheme="minorBidi"/>
              </w:rPr>
            </w:pPr>
            <w:r w:rsidRPr="002E7DFC">
              <w:rPr>
                <w:rFonts w:asciiTheme="minorBidi" w:hAnsiTheme="minorBidi"/>
                <w:b/>
                <w:sz w:val="22"/>
              </w:rPr>
              <w:t>Verification</w:t>
            </w:r>
          </w:p>
        </w:tc>
      </w:tr>
      <w:tr w:rsidR="00D01F62" w:rsidRPr="002E7DFC" w14:paraId="128F45CB" w14:textId="77777777">
        <w:trPr>
          <w:cantSplit/>
        </w:trPr>
        <w:tc>
          <w:tcPr>
            <w:tcW w:w="1944" w:type="dxa"/>
            <w:tcBorders>
              <w:top w:val="single" w:sz="4" w:space="0" w:color="D9D9D9"/>
              <w:left w:val="single" w:sz="4" w:space="0" w:color="D9D9D9"/>
              <w:bottom w:val="single" w:sz="4" w:space="0" w:color="D9D9D9"/>
              <w:right w:val="single" w:sz="4" w:space="0" w:color="D9D9D9"/>
            </w:tcBorders>
          </w:tcPr>
          <w:p w14:paraId="0D81D8FE"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Product misinformation</w:t>
            </w:r>
          </w:p>
        </w:tc>
        <w:tc>
          <w:tcPr>
            <w:tcW w:w="3960" w:type="dxa"/>
            <w:tcBorders>
              <w:top w:val="single" w:sz="4" w:space="0" w:color="D9D9D9"/>
              <w:left w:val="single" w:sz="4" w:space="0" w:color="D9D9D9"/>
              <w:bottom w:val="single" w:sz="4" w:space="0" w:color="D9D9D9"/>
              <w:right w:val="single" w:sz="4" w:space="0" w:color="D9D9D9"/>
            </w:tcBorders>
          </w:tcPr>
          <w:p w14:paraId="496E2FFC"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Quality owner: review batch and release controls before expansion.</w:t>
            </w:r>
          </w:p>
        </w:tc>
        <w:tc>
          <w:tcPr>
            <w:tcW w:w="3456" w:type="dxa"/>
            <w:tcBorders>
              <w:top w:val="single" w:sz="4" w:space="0" w:color="D9D9D9"/>
              <w:left w:val="single" w:sz="4" w:space="0" w:color="D9D9D9"/>
              <w:bottom w:val="single" w:sz="4" w:space="0" w:color="D9D9D9"/>
              <w:right w:val="single" w:sz="4" w:space="0" w:color="D9D9D9"/>
            </w:tcBorders>
          </w:tcPr>
          <w:p w14:paraId="2333BABA"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Reconcile batch records and perform a documented recall exercise.</w:t>
            </w:r>
          </w:p>
        </w:tc>
      </w:tr>
      <w:tr w:rsidR="00D01F62" w:rsidRPr="002E7DFC" w14:paraId="772905BE" w14:textId="77777777">
        <w:trPr>
          <w:cantSplit/>
        </w:trPr>
        <w:tc>
          <w:tcPr>
            <w:tcW w:w="1944" w:type="dxa"/>
            <w:tcBorders>
              <w:top w:val="single" w:sz="4" w:space="0" w:color="D9D9D9"/>
              <w:left w:val="single" w:sz="4" w:space="0" w:color="D9D9D9"/>
              <w:bottom w:val="single" w:sz="4" w:space="0" w:color="D9D9D9"/>
              <w:right w:val="single" w:sz="4" w:space="0" w:color="D9D9D9"/>
            </w:tcBorders>
          </w:tcPr>
          <w:p w14:paraId="1D753685"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Account compromise</w:t>
            </w:r>
          </w:p>
        </w:tc>
        <w:tc>
          <w:tcPr>
            <w:tcW w:w="3960" w:type="dxa"/>
            <w:tcBorders>
              <w:top w:val="single" w:sz="4" w:space="0" w:color="D9D9D9"/>
              <w:left w:val="single" w:sz="4" w:space="0" w:color="D9D9D9"/>
              <w:bottom w:val="single" w:sz="4" w:space="0" w:color="D9D9D9"/>
              <w:right w:val="single" w:sz="4" w:space="0" w:color="D9D9D9"/>
            </w:tcBorders>
          </w:tcPr>
          <w:p w14:paraId="34B94184"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Technology lead: verify unique access, MFA and account removal within two weeks.</w:t>
            </w:r>
          </w:p>
        </w:tc>
        <w:tc>
          <w:tcPr>
            <w:tcW w:w="3456" w:type="dxa"/>
            <w:tcBorders>
              <w:top w:val="single" w:sz="4" w:space="0" w:color="D9D9D9"/>
              <w:left w:val="single" w:sz="4" w:space="0" w:color="D9D9D9"/>
              <w:bottom w:val="single" w:sz="4" w:space="0" w:color="D9D9D9"/>
              <w:right w:val="single" w:sz="4" w:space="0" w:color="D9D9D9"/>
            </w:tcBorders>
          </w:tcPr>
          <w:p w14:paraId="42133D72"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Review configuration and test approved access scenarios.</w:t>
            </w:r>
          </w:p>
        </w:tc>
      </w:tr>
      <w:tr w:rsidR="00D01F62" w:rsidRPr="002E7DFC" w14:paraId="3B5CC062" w14:textId="77777777">
        <w:trPr>
          <w:cantSplit/>
        </w:trPr>
        <w:tc>
          <w:tcPr>
            <w:tcW w:w="1944" w:type="dxa"/>
            <w:tcBorders>
              <w:top w:val="single" w:sz="4" w:space="0" w:color="D9D9D9"/>
              <w:left w:val="single" w:sz="4" w:space="0" w:color="D9D9D9"/>
              <w:bottom w:val="single" w:sz="4" w:space="0" w:color="D9D9D9"/>
              <w:right w:val="single" w:sz="4" w:space="0" w:color="D9D9D9"/>
            </w:tcBorders>
          </w:tcPr>
          <w:p w14:paraId="7BCE473A"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Recovery failure</w:t>
            </w:r>
          </w:p>
        </w:tc>
        <w:tc>
          <w:tcPr>
            <w:tcW w:w="3960" w:type="dxa"/>
            <w:tcBorders>
              <w:top w:val="single" w:sz="4" w:space="0" w:color="D9D9D9"/>
              <w:left w:val="single" w:sz="4" w:space="0" w:color="D9D9D9"/>
              <w:bottom w:val="single" w:sz="4" w:space="0" w:color="D9D9D9"/>
              <w:right w:val="single" w:sz="4" w:space="0" w:color="D9D9D9"/>
            </w:tcBorders>
          </w:tcPr>
          <w:p w14:paraId="338F69FE"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Operations provider: specify leadership, fencing and failure scope before accepting the recovery design.</w:t>
            </w:r>
          </w:p>
        </w:tc>
        <w:tc>
          <w:tcPr>
            <w:tcW w:w="3456" w:type="dxa"/>
            <w:tcBorders>
              <w:top w:val="single" w:sz="4" w:space="0" w:color="D9D9D9"/>
              <w:left w:val="single" w:sz="4" w:space="0" w:color="D9D9D9"/>
              <w:bottom w:val="single" w:sz="4" w:space="0" w:color="D9D9D9"/>
              <w:right w:val="single" w:sz="4" w:space="0" w:color="D9D9D9"/>
            </w:tcBorders>
          </w:tcPr>
          <w:p w14:paraId="1FE1FABC" w14:textId="77777777" w:rsidR="00D01F62" w:rsidRPr="002E7DFC" w:rsidRDefault="00000000">
            <w:pPr>
              <w:spacing w:before="100" w:line="276" w:lineRule="auto"/>
              <w:jc w:val="left"/>
              <w:rPr>
                <w:rFonts w:asciiTheme="minorBidi" w:hAnsiTheme="minorBidi"/>
              </w:rPr>
            </w:pPr>
            <w:r w:rsidRPr="002E7DFC">
              <w:rPr>
                <w:rFonts w:asciiTheme="minorBidi" w:hAnsiTheme="minorBidi"/>
                <w:sz w:val="22"/>
              </w:rPr>
              <w:t>Record interruption, acknowledged transactions, data loss and payment reconciliation.</w:t>
            </w:r>
          </w:p>
        </w:tc>
      </w:tr>
    </w:tbl>
    <w:p w14:paraId="704D5161" w14:textId="77777777" w:rsidR="00D01F62" w:rsidRPr="002E7DFC" w:rsidRDefault="00000000">
      <w:pPr>
        <w:rPr>
          <w:rFonts w:asciiTheme="minorBidi" w:hAnsiTheme="minorBidi"/>
        </w:rPr>
      </w:pPr>
      <w:r w:rsidRPr="002E7DFC">
        <w:rPr>
          <w:rFonts w:asciiTheme="minorBidi" w:hAnsiTheme="minorBidi"/>
        </w:rPr>
        <w:t xml:space="preserve">For governance, cite ISO/IEC 27001:2022 requirements and ISO/IEC 27002:2022 control guidance fully, without claiming certification or conformity from a report alone (ISO/IEC, 2022a; 2022b). Check current ICO guidance when deciding whether and how </w:t>
      </w:r>
      <w:r w:rsidRPr="002E7DFC">
        <w:rPr>
          <w:rFonts w:asciiTheme="minorBidi" w:hAnsiTheme="minorBidi"/>
        </w:rPr>
        <w:lastRenderedPageBreak/>
        <w:t>to report a personal-data breach; record the assessment, applicable duties and decisions (ICO, no date).</w:t>
      </w:r>
    </w:p>
    <w:p w14:paraId="6137F803" w14:textId="77777777" w:rsidR="00D01F62" w:rsidRPr="002E7DFC" w:rsidRDefault="00000000">
      <w:pPr>
        <w:rPr>
          <w:rFonts w:asciiTheme="minorBidi" w:hAnsiTheme="minorBidi"/>
        </w:rPr>
      </w:pPr>
      <w:r w:rsidRPr="002E7DFC">
        <w:rPr>
          <w:rFonts w:asciiTheme="minorBidi" w:hAnsiTheme="minorBidi"/>
        </w:rPr>
        <w:t>For a proposed twelve-month qualitative scale, low likelihood indicates limited supporting evidence; medium indicates credible but uncertain exposure; high indicates recurring events or strong supporting evidence. These are judgement anchors, not probabilities. Impact should distinguish inconvenience, material trading disruption and serious harm. Product-safety hazards require separate escalation.</w:t>
      </w:r>
    </w:p>
    <w:p w14:paraId="3B327C02" w14:textId="77777777" w:rsidR="00D01F62" w:rsidRPr="002E7DFC" w:rsidRDefault="00000000">
      <w:pPr>
        <w:rPr>
          <w:rFonts w:asciiTheme="minorBidi" w:hAnsiTheme="minorBidi"/>
        </w:rPr>
      </w:pPr>
      <w:r w:rsidRPr="002E7DFC">
        <w:rPr>
          <w:rFonts w:asciiTheme="minorBidi" w:hAnsiTheme="minorBidi"/>
        </w:rPr>
        <w:t>For comparison, retain the same consequence definitions across options. A pilot may improve stock visibility while introducing a provider dependency; keeping current processes avoids that dependency but retains fragile records and strategic inaction. Record both benefits and new exposures before choosing treatment. Any numerical scoring should state that ranks are ordinal and should not be converted directly into event probabilities.</w:t>
      </w:r>
    </w:p>
    <w:p w14:paraId="1ACC284E" w14:textId="77777777" w:rsidR="00D01F62" w:rsidRPr="002E7DFC" w:rsidRDefault="00000000">
      <w:pPr>
        <w:rPr>
          <w:rFonts w:asciiTheme="minorBidi" w:hAnsiTheme="minorBidi"/>
        </w:rPr>
      </w:pPr>
      <w:r w:rsidRPr="002E7DFC">
        <w:rPr>
          <w:rFonts w:asciiTheme="minorBidi" w:hAnsiTheme="minorBidi"/>
        </w:rPr>
        <w:t>Translate the batch model into planning only after collecting batch counts and severity information. Translate monthly supply disruption using affected commitments, duration and recovery costs. Do not multiply an assumed monthly network probability by warehouse count or treat it as an order-level loss rate. The appropriate common planning basis is an explicitly defined consequence measure with compatible exposure data, not a direct comparison of the two percentages.</w:t>
      </w:r>
    </w:p>
    <w:p w14:paraId="2532E811" w14:textId="77777777" w:rsidR="00D01F62" w:rsidRPr="002E7DFC" w:rsidRDefault="00000000">
      <w:pPr>
        <w:rPr>
          <w:rFonts w:asciiTheme="minorBidi" w:hAnsiTheme="minorBidi"/>
        </w:rPr>
      </w:pPr>
      <w:r w:rsidRPr="002E7DFC">
        <w:rPr>
          <w:rFonts w:asciiTheme="minorBidi" w:hAnsiTheme="minorBidi"/>
        </w:rPr>
        <w:t>Future evidence will include an owned risk register, control-specific scenarios and a recovery exercise. Record review dates and residual-risk acceptance by the appropriate business owner. Protect personal information in any portfolio extracts and acknowledge the earlier group report when using it.</w:t>
      </w:r>
    </w:p>
    <w:p w14:paraId="2CFDA2B4" w14:textId="77777777" w:rsidR="00D01F62" w:rsidRPr="002E7DFC" w:rsidRDefault="00000000">
      <w:pPr>
        <w:pStyle w:val="Heading1"/>
        <w:pageBreakBefore/>
        <w:rPr>
          <w:rFonts w:asciiTheme="minorBidi" w:hAnsiTheme="minorBidi" w:cstheme="minorBidi"/>
        </w:rPr>
      </w:pPr>
      <w:r w:rsidRPr="002E7DFC">
        <w:rPr>
          <w:rFonts w:asciiTheme="minorBidi" w:hAnsiTheme="minorBidi" w:cstheme="minorBidi"/>
        </w:rPr>
        <w:lastRenderedPageBreak/>
        <w:t>References</w:t>
      </w:r>
    </w:p>
    <w:p w14:paraId="195794A8" w14:textId="77777777" w:rsidR="00D01F62" w:rsidRPr="002E7DFC" w:rsidRDefault="00000000">
      <w:pPr>
        <w:jc w:val="left"/>
        <w:rPr>
          <w:rFonts w:asciiTheme="minorBidi" w:hAnsiTheme="minorBidi"/>
        </w:rPr>
      </w:pPr>
      <w:r w:rsidRPr="002E7DFC">
        <w:rPr>
          <w:rFonts w:asciiTheme="minorBidi" w:hAnsiTheme="minorBidi"/>
        </w:rPr>
        <w:t>Amazon Web Services (no date) Disaster recovery options in the cloud. Disaster Recovery of Workloads on AWS. Available at: https://docs.aws.amazon.com/whitepapers/latest/disaster-recovery-workloads-on-aws/disaster-recovery-options-in-the-cloud.html (Accessed: 19 October 2026).</w:t>
      </w:r>
    </w:p>
    <w:p w14:paraId="4FEEAC86" w14:textId="77777777" w:rsidR="00D01F62" w:rsidRPr="002E7DFC" w:rsidRDefault="00000000">
      <w:pPr>
        <w:jc w:val="left"/>
        <w:rPr>
          <w:rFonts w:asciiTheme="minorBidi" w:hAnsiTheme="minorBidi"/>
        </w:rPr>
      </w:pPr>
      <w:r w:rsidRPr="002E7DFC">
        <w:rPr>
          <w:rFonts w:asciiTheme="minorBidi" w:hAnsiTheme="minorBidi"/>
        </w:rPr>
        <w:t>Group 3 (2026) Risk identification report Pampered Pets selective digitalisation as a resilience strategy. SRM_PCOM7E July 2026. Unpublished student group report. Supplied document.</w:t>
      </w:r>
    </w:p>
    <w:p w14:paraId="125D7310" w14:textId="77777777" w:rsidR="00D01F62" w:rsidRPr="002E7DFC" w:rsidRDefault="00000000">
      <w:pPr>
        <w:jc w:val="left"/>
        <w:rPr>
          <w:rFonts w:asciiTheme="minorBidi" w:hAnsiTheme="minorBidi"/>
        </w:rPr>
      </w:pPr>
      <w:r w:rsidRPr="002E7DFC">
        <w:rPr>
          <w:rFonts w:asciiTheme="minorBidi" w:hAnsiTheme="minorBidi"/>
        </w:rPr>
        <w:t>Information Commissioner’s Office (ICO) (no date) Personal data breaches a guide. Available at: https://ico.org.uk/for-organisations/report-a-breach/personal-data-breach/personal-data-breaches-a-guide/ (Accessed: 19 October 2026).</w:t>
      </w:r>
    </w:p>
    <w:p w14:paraId="2613F33F" w14:textId="77777777" w:rsidR="00D01F62" w:rsidRPr="002E7DFC" w:rsidRDefault="00000000">
      <w:pPr>
        <w:jc w:val="left"/>
        <w:rPr>
          <w:rFonts w:asciiTheme="minorBidi" w:hAnsiTheme="minorBidi"/>
        </w:rPr>
      </w:pPr>
      <w:r w:rsidRPr="002E7DFC">
        <w:rPr>
          <w:rFonts w:asciiTheme="minorBidi" w:hAnsiTheme="minorBidi"/>
        </w:rPr>
        <w:t>ISO/IEC (2022a) ISO/IEC 27001:2022 Information security, cybersecurity and privacy protection Information security management systems Requirements. Geneva: International Organization for Standardization. Available at: https://www.iso.org/standard/27001 (Accessed: 19 October 2026).</w:t>
      </w:r>
    </w:p>
    <w:p w14:paraId="666787D5" w14:textId="77777777" w:rsidR="00D01F62" w:rsidRPr="002E7DFC" w:rsidRDefault="00000000">
      <w:pPr>
        <w:jc w:val="left"/>
        <w:rPr>
          <w:rFonts w:asciiTheme="minorBidi" w:hAnsiTheme="minorBidi"/>
        </w:rPr>
      </w:pPr>
      <w:r w:rsidRPr="002E7DFC">
        <w:rPr>
          <w:rFonts w:asciiTheme="minorBidi" w:hAnsiTheme="minorBidi"/>
        </w:rPr>
        <w:t>ISO/IEC (2022b) ISO/IEC 27002:2022 Information security, cybersecurity and privacy protection Information security controls. Geneva: International Organization for Standardization. Available at: https://www.iso.org/standard/75652.html (Accessed: 19 October 2026).</w:t>
      </w:r>
    </w:p>
    <w:p w14:paraId="2CD2EF51" w14:textId="77777777" w:rsidR="00D01F62" w:rsidRPr="002E7DFC" w:rsidRDefault="00000000">
      <w:pPr>
        <w:jc w:val="left"/>
        <w:rPr>
          <w:rFonts w:asciiTheme="minorBidi" w:hAnsiTheme="minorBidi"/>
        </w:rPr>
      </w:pPr>
      <w:r w:rsidRPr="002E7DFC">
        <w:rPr>
          <w:rFonts w:asciiTheme="minorBidi" w:hAnsiTheme="minorBidi"/>
        </w:rPr>
        <w:t>Joint Task Force Transformation Initiative (2012) Guide for conducting risk assessments. NIST SP 800-30 Rev. 1. Gaithersburg, MD: NIST. doi: 10.6028/NIST.SP.800-30r1.</w:t>
      </w:r>
    </w:p>
    <w:p w14:paraId="3333B059" w14:textId="77777777" w:rsidR="00D01F62" w:rsidRPr="002E7DFC" w:rsidRDefault="00000000">
      <w:pPr>
        <w:jc w:val="left"/>
        <w:rPr>
          <w:rFonts w:asciiTheme="minorBidi" w:hAnsiTheme="minorBidi"/>
        </w:rPr>
      </w:pPr>
      <w:r w:rsidRPr="002E7DFC">
        <w:rPr>
          <w:rFonts w:asciiTheme="minorBidi" w:hAnsiTheme="minorBidi"/>
        </w:rPr>
        <w:lastRenderedPageBreak/>
        <w:t>Noora (2026a) Updated peer evaluation Group 3. Name recorded in the source: Noora Al-Adsani. Unpublished student document. Supplied document.</w:t>
      </w:r>
    </w:p>
    <w:p w14:paraId="61010977" w14:textId="77777777" w:rsidR="00D01F62" w:rsidRPr="002E7DFC" w:rsidRDefault="00000000">
      <w:pPr>
        <w:jc w:val="left"/>
        <w:rPr>
          <w:rFonts w:asciiTheme="minorBidi" w:hAnsiTheme="minorBidi"/>
        </w:rPr>
      </w:pPr>
      <w:r w:rsidRPr="002E7DFC">
        <w:rPr>
          <w:rFonts w:asciiTheme="minorBidi" w:hAnsiTheme="minorBidi"/>
        </w:rPr>
        <w:t>Noora (2026b) Executive assessment of international procurement and warehouse automation. Individual Project Executive Summary. SRM_PCOM7E July 2026. Unpublished student document. Supplied as Individual Summary.docx.</w:t>
      </w:r>
    </w:p>
    <w:p w14:paraId="7FD510D7" w14:textId="77777777" w:rsidR="00D01F62" w:rsidRPr="002E7DFC" w:rsidRDefault="00000000">
      <w:pPr>
        <w:jc w:val="left"/>
        <w:rPr>
          <w:rFonts w:asciiTheme="minorBidi" w:hAnsiTheme="minorBidi"/>
        </w:rPr>
      </w:pPr>
      <w:r w:rsidRPr="002E7DFC">
        <w:rPr>
          <w:rFonts w:asciiTheme="minorBidi" w:hAnsiTheme="minorBidi"/>
        </w:rPr>
        <w:t>Rolfe, G., Freshwater, D. and Jasper, M. (2001) Critical reflection in nursing and the helping professions: a user’s guide. Basingstoke: Palgrave Macmillan.</w:t>
      </w:r>
    </w:p>
    <w:p w14:paraId="2BF3F68D" w14:textId="77777777" w:rsidR="00D01F62" w:rsidRPr="002E7DFC" w:rsidRDefault="00000000">
      <w:pPr>
        <w:jc w:val="left"/>
        <w:rPr>
          <w:rFonts w:asciiTheme="minorBidi" w:hAnsiTheme="minorBidi"/>
        </w:rPr>
      </w:pPr>
      <w:r w:rsidRPr="002E7DFC">
        <w:rPr>
          <w:rFonts w:asciiTheme="minorBidi" w:hAnsiTheme="minorBidi"/>
        </w:rPr>
        <w:t>Shevchenko, N., Chick, T.A., O’Riordan, P., Scanlon, T.P. and Woody, C. (2018) Threat modeling A summary of available methods. Pittsburgh, PA: Carnegie Mellon University Software Engineering Institute. Available at: https://www.sei.cmu.edu/library/threat-modeling-a-summary-of-available-methods/ (Accessed: 19 October 2026).</w:t>
      </w:r>
    </w:p>
    <w:p w14:paraId="49464F2C" w14:textId="77777777" w:rsidR="00D01F62" w:rsidRPr="002E7DFC" w:rsidRDefault="00000000">
      <w:pPr>
        <w:jc w:val="left"/>
        <w:rPr>
          <w:rFonts w:asciiTheme="minorBidi" w:hAnsiTheme="minorBidi"/>
        </w:rPr>
      </w:pPr>
      <w:r w:rsidRPr="002E7DFC">
        <w:rPr>
          <w:rFonts w:asciiTheme="minorBidi" w:hAnsiTheme="minorBidi"/>
        </w:rPr>
        <w:t>University of Essex Online (2026) Security and Risk Management assessment instructions and feedback. SRM_PCOM7E July 2026. Text supplied in Pasted text(20261019-193950).txt. Group report 77%; individual summary 74%. Grades provisional.</w:t>
      </w:r>
    </w:p>
    <w:p w14:paraId="29581D8F" w14:textId="77777777" w:rsidR="00D01F62" w:rsidRPr="002E7DFC" w:rsidRDefault="00000000">
      <w:pPr>
        <w:pStyle w:val="Heading1"/>
        <w:pageBreakBefore/>
        <w:rPr>
          <w:rFonts w:asciiTheme="minorBidi" w:hAnsiTheme="minorBidi" w:cstheme="minorBidi"/>
        </w:rPr>
      </w:pPr>
      <w:r w:rsidRPr="002E7DFC">
        <w:rPr>
          <w:rFonts w:asciiTheme="minorBidi" w:hAnsiTheme="minorBidi" w:cstheme="minorBidi"/>
        </w:rPr>
        <w:lastRenderedPageBreak/>
        <w:t>Evidence appendix</w:t>
      </w:r>
    </w:p>
    <w:p w14:paraId="3472B0DF" w14:textId="77777777" w:rsidR="00D01F62" w:rsidRPr="002E7DFC" w:rsidRDefault="00000000">
      <w:pPr>
        <w:rPr>
          <w:rFonts w:asciiTheme="minorBidi" w:hAnsiTheme="minorBidi"/>
        </w:rPr>
      </w:pPr>
      <w:r w:rsidRPr="002E7DFC">
        <w:rPr>
          <w:rFonts w:asciiTheme="minorBidi" w:hAnsiTheme="minorBidi"/>
        </w:rPr>
        <w:t>Rendered extracts from the supplied files support the reflection. No screenshot is represented as a live system test.</w:t>
      </w:r>
    </w:p>
    <w:p w14:paraId="2EF81E26" w14:textId="77777777" w:rsidR="00D01F62" w:rsidRPr="002E7DFC" w:rsidRDefault="00000000">
      <w:pPr>
        <w:spacing w:line="240" w:lineRule="auto"/>
        <w:jc w:val="center"/>
        <w:rPr>
          <w:rFonts w:asciiTheme="minorBidi" w:hAnsiTheme="minorBidi"/>
        </w:rPr>
      </w:pPr>
      <w:r w:rsidRPr="002E7DFC">
        <w:rPr>
          <w:rFonts w:asciiTheme="minorBidi" w:hAnsiTheme="minorBidi"/>
          <w:noProof/>
        </w:rPr>
        <w:drawing>
          <wp:inline distT="0" distB="0" distL="0" distR="0" wp14:anchorId="734C8336" wp14:editId="5952AC32">
            <wp:extent cx="5943600" cy="463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ibution.png"/>
                    <pic:cNvPicPr/>
                  </pic:nvPicPr>
                  <pic:blipFill>
                    <a:blip r:embed="rId8"/>
                    <a:stretch>
                      <a:fillRect/>
                    </a:stretch>
                  </pic:blipFill>
                  <pic:spPr>
                    <a:xfrm>
                      <a:off x="0" y="0"/>
                      <a:ext cx="5943600" cy="463186"/>
                    </a:xfrm>
                    <a:prstGeom prst="rect">
                      <a:avLst/>
                    </a:prstGeom>
                  </pic:spPr>
                </pic:pic>
              </a:graphicData>
            </a:graphic>
          </wp:inline>
        </w:drawing>
      </w:r>
    </w:p>
    <w:p w14:paraId="7FA9680D" w14:textId="77777777" w:rsidR="00D01F62" w:rsidRPr="002E7DFC" w:rsidRDefault="00000000">
      <w:pPr>
        <w:pStyle w:val="Caption"/>
        <w:spacing w:line="276" w:lineRule="auto"/>
        <w:rPr>
          <w:rFonts w:asciiTheme="minorBidi" w:hAnsiTheme="minorBidi"/>
        </w:rPr>
      </w:pPr>
      <w:r w:rsidRPr="002E7DFC">
        <w:rPr>
          <w:rFonts w:asciiTheme="minorBidi" w:hAnsiTheme="minorBidi"/>
          <w:sz w:val="20"/>
        </w:rPr>
        <w:t>Figure 1  E3 identifies Noora’s contribution to the phased recommendation. This is her supplied peer-evaluation account.</w:t>
      </w:r>
    </w:p>
    <w:p w14:paraId="2109A92B" w14:textId="77777777" w:rsidR="00D01F62" w:rsidRPr="002E7DFC" w:rsidRDefault="00000000">
      <w:pPr>
        <w:spacing w:line="240" w:lineRule="auto"/>
        <w:jc w:val="center"/>
        <w:rPr>
          <w:rFonts w:asciiTheme="minorBidi" w:hAnsiTheme="minorBidi"/>
        </w:rPr>
      </w:pPr>
      <w:r w:rsidRPr="002E7DFC">
        <w:rPr>
          <w:rFonts w:asciiTheme="minorBidi" w:hAnsiTheme="minorBidi"/>
          <w:noProof/>
        </w:rPr>
        <w:drawing>
          <wp:inline distT="0" distB="0" distL="0" distR="0" wp14:anchorId="53A4E47D" wp14:editId="77DE5F95">
            <wp:extent cx="5943600" cy="257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calculation.png"/>
                    <pic:cNvPicPr/>
                  </pic:nvPicPr>
                  <pic:blipFill>
                    <a:blip r:embed="rId9"/>
                    <a:stretch>
                      <a:fillRect/>
                    </a:stretch>
                  </pic:blipFill>
                  <pic:spPr>
                    <a:xfrm>
                      <a:off x="0" y="0"/>
                      <a:ext cx="5943600" cy="257857"/>
                    </a:xfrm>
                    <a:prstGeom prst="rect">
                      <a:avLst/>
                    </a:prstGeom>
                  </pic:spPr>
                </pic:pic>
              </a:graphicData>
            </a:graphic>
          </wp:inline>
        </w:drawing>
      </w:r>
    </w:p>
    <w:p w14:paraId="0AABA693" w14:textId="77777777" w:rsidR="00D01F62" w:rsidRPr="002E7DFC" w:rsidRDefault="00000000">
      <w:pPr>
        <w:pStyle w:val="Caption"/>
        <w:spacing w:line="276" w:lineRule="auto"/>
        <w:rPr>
          <w:rFonts w:asciiTheme="minorBidi" w:hAnsiTheme="minorBidi"/>
        </w:rPr>
      </w:pPr>
      <w:r w:rsidRPr="002E7DFC">
        <w:rPr>
          <w:rFonts w:asciiTheme="minorBidi" w:hAnsiTheme="minorBidi"/>
          <w:sz w:val="20"/>
        </w:rPr>
        <w:t>Figure 2  E2 shows the conditional quality calculation. The inputs are explicitly analyst assumptions, not collected incident rates.</w:t>
      </w:r>
    </w:p>
    <w:p w14:paraId="7622019B" w14:textId="77777777" w:rsidR="00D01F62" w:rsidRPr="002E7DFC" w:rsidRDefault="00000000">
      <w:pPr>
        <w:spacing w:line="240" w:lineRule="auto"/>
        <w:jc w:val="center"/>
        <w:rPr>
          <w:rFonts w:asciiTheme="minorBidi" w:hAnsiTheme="minorBidi"/>
        </w:rPr>
      </w:pPr>
      <w:r w:rsidRPr="002E7DFC">
        <w:rPr>
          <w:rFonts w:asciiTheme="minorBidi" w:hAnsiTheme="minorBidi"/>
          <w:noProof/>
        </w:rPr>
        <w:drawing>
          <wp:inline distT="0" distB="0" distL="0" distR="0" wp14:anchorId="2905BE9B" wp14:editId="5C6E144D">
            <wp:extent cx="5943600" cy="257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limit.png"/>
                    <pic:cNvPicPr/>
                  </pic:nvPicPr>
                  <pic:blipFill>
                    <a:blip r:embed="rId10"/>
                    <a:stretch>
                      <a:fillRect/>
                    </a:stretch>
                  </pic:blipFill>
                  <pic:spPr>
                    <a:xfrm>
                      <a:off x="0" y="0"/>
                      <a:ext cx="5943600" cy="257857"/>
                    </a:xfrm>
                    <a:prstGeom prst="rect">
                      <a:avLst/>
                    </a:prstGeom>
                  </pic:spPr>
                </pic:pic>
              </a:graphicData>
            </a:graphic>
          </wp:inline>
        </w:drawing>
      </w:r>
    </w:p>
    <w:p w14:paraId="11A49DF5" w14:textId="77777777" w:rsidR="00D01F62" w:rsidRPr="002E7DFC" w:rsidRDefault="00000000">
      <w:pPr>
        <w:pStyle w:val="Caption"/>
        <w:spacing w:line="276" w:lineRule="auto"/>
        <w:rPr>
          <w:rFonts w:asciiTheme="minorBidi" w:hAnsiTheme="minorBidi"/>
        </w:rPr>
      </w:pPr>
      <w:r w:rsidRPr="002E7DFC">
        <w:rPr>
          <w:rFonts w:asciiTheme="minorBidi" w:hAnsiTheme="minorBidi"/>
          <w:sz w:val="20"/>
        </w:rPr>
        <w:t>Figure 3  E2 distinguishes a recovery acceptance target from a vendor guarantee. No recovery execution log was supplied.</w:t>
      </w:r>
    </w:p>
    <w:sectPr w:rsidR="00D01F62" w:rsidRPr="002E7DFC"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D1F62" w14:textId="77777777" w:rsidR="00000C32" w:rsidRDefault="00000C32">
      <w:pPr>
        <w:spacing w:after="0" w:line="240" w:lineRule="auto"/>
      </w:pPr>
      <w:r>
        <w:separator/>
      </w:r>
    </w:p>
  </w:endnote>
  <w:endnote w:type="continuationSeparator" w:id="0">
    <w:p w14:paraId="4A3AF37C" w14:textId="77777777" w:rsidR="00000C32" w:rsidRDefault="00000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22E9" w14:textId="77777777" w:rsidR="00D01F62" w:rsidRDefault="00000000">
    <w:pPr>
      <w:pStyle w:val="Footer"/>
      <w:jc w:val="center"/>
    </w:pPr>
    <w:r>
      <w:t xml:space="preserve">Page </w:t>
    </w:r>
    <w:r>
      <w:fldChar w:fldCharType="begin"/>
    </w:r>
    <w:r>
      <w:instrText>PAGE</w:instrText>
    </w:r>
    <w:r>
      <w:fldChar w:fldCharType="separate"/>
    </w:r>
    <w:r w:rsidR="002E7D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7DC1C" w14:textId="77777777" w:rsidR="00000C32" w:rsidRDefault="00000C32">
      <w:pPr>
        <w:spacing w:after="0" w:line="240" w:lineRule="auto"/>
      </w:pPr>
      <w:r>
        <w:separator/>
      </w:r>
    </w:p>
  </w:footnote>
  <w:footnote w:type="continuationSeparator" w:id="0">
    <w:p w14:paraId="0B9F61D3" w14:textId="77777777" w:rsidR="00000C32" w:rsidRDefault="00000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3AD9" w14:textId="77777777" w:rsidR="00D01F62" w:rsidRDefault="00000000">
    <w:pPr>
      <w:pStyle w:val="Header"/>
    </w:pPr>
    <w:r>
      <w:rPr>
        <w:sz w:val="18"/>
      </w:rPr>
      <w:t xml:space="preserve">SRM_PCOM7E July 2026   |   Noora </w:t>
    </w:r>
    <w:proofErr w:type="spellStart"/>
    <w:r>
      <w:rPr>
        <w:sz w:val="18"/>
      </w:rPr>
      <w:t>Aldsani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1114199">
    <w:abstractNumId w:val="8"/>
  </w:num>
  <w:num w:numId="2" w16cid:durableId="344593842">
    <w:abstractNumId w:val="6"/>
  </w:num>
  <w:num w:numId="3" w16cid:durableId="916129538">
    <w:abstractNumId w:val="5"/>
  </w:num>
  <w:num w:numId="4" w16cid:durableId="312487237">
    <w:abstractNumId w:val="4"/>
  </w:num>
  <w:num w:numId="5" w16cid:durableId="1464038379">
    <w:abstractNumId w:val="7"/>
  </w:num>
  <w:num w:numId="6" w16cid:durableId="2031181804">
    <w:abstractNumId w:val="3"/>
  </w:num>
  <w:num w:numId="7" w16cid:durableId="1086225675">
    <w:abstractNumId w:val="2"/>
  </w:num>
  <w:num w:numId="8" w16cid:durableId="346908925">
    <w:abstractNumId w:val="1"/>
  </w:num>
  <w:num w:numId="9" w16cid:durableId="79840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32"/>
    <w:rsid w:val="00034616"/>
    <w:rsid w:val="0006063C"/>
    <w:rsid w:val="0015074B"/>
    <w:rsid w:val="0029639D"/>
    <w:rsid w:val="002E7DFC"/>
    <w:rsid w:val="00326F90"/>
    <w:rsid w:val="00376838"/>
    <w:rsid w:val="00AA1D8D"/>
    <w:rsid w:val="00B47730"/>
    <w:rsid w:val="00C51A91"/>
    <w:rsid w:val="00CB0664"/>
    <w:rsid w:val="00D01F62"/>
    <w:rsid w:val="00E54D9A"/>
    <w:rsid w:val="00F830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BC91D"/>
  <w14:defaultImageDpi w14:val="300"/>
  <w15:docId w15:val="{DD375BF4-53C5-48ED-A772-DBF9B6B14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480" w:lineRule="auto"/>
      <w:jc w:val="both"/>
    </w:pPr>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48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jc w:val="left"/>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left"/>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2597</Words>
  <Characters>14805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user pc</cp:lastModifiedBy>
  <cp:revision>5</cp:revision>
  <dcterms:created xsi:type="dcterms:W3CDTF">2013-12-23T23:15:00Z</dcterms:created>
  <dcterms:modified xsi:type="dcterms:W3CDTF">2026-10-19T19:46:00Z</dcterms:modified>
  <cp:category/>
</cp:coreProperties>
</file>