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1B40" w14:textId="3CA201AC" w:rsidR="007B7C46" w:rsidRPr="00CA186B" w:rsidRDefault="007B7C46" w:rsidP="007B7C46">
      <w:pPr>
        <w:spacing w:line="240" w:lineRule="auto"/>
        <w:jc w:val="center"/>
        <w:rPr>
          <w:sz w:val="20"/>
          <w:szCs w:val="20"/>
        </w:rPr>
      </w:pPr>
      <w:r w:rsidRPr="00CA186B">
        <w:rPr>
          <w:sz w:val="20"/>
          <w:szCs w:val="20"/>
        </w:rPr>
        <w:t xml:space="preserve">Taller: </w:t>
      </w:r>
      <w:r w:rsidR="00CA186B" w:rsidRPr="00CA186B">
        <w:rPr>
          <w:sz w:val="20"/>
          <w:szCs w:val="20"/>
        </w:rPr>
        <w:t xml:space="preserve">App de Traducción Orquestada con Docker </w:t>
      </w:r>
      <w:proofErr w:type="spellStart"/>
      <w:r w:rsidR="00CA186B" w:rsidRPr="00CA186B">
        <w:rPr>
          <w:sz w:val="20"/>
          <w:szCs w:val="20"/>
        </w:rPr>
        <w:t>Compose</w:t>
      </w:r>
      <w:proofErr w:type="spellEnd"/>
      <w:r w:rsidR="00CA186B" w:rsidRPr="00CA186B">
        <w:rPr>
          <w:sz w:val="20"/>
          <w:szCs w:val="20"/>
        </w:rPr>
        <w:t xml:space="preserve"> y </w:t>
      </w:r>
      <w:proofErr w:type="spellStart"/>
      <w:r w:rsidR="00CA186B" w:rsidRPr="00CA186B">
        <w:rPr>
          <w:sz w:val="20"/>
          <w:szCs w:val="20"/>
        </w:rPr>
        <w:t>Swarm</w:t>
      </w:r>
      <w:proofErr w:type="spellEnd"/>
    </w:p>
    <w:p w14:paraId="01F32FE0" w14:textId="77777777" w:rsidR="00CA186B" w:rsidRPr="00CA186B" w:rsidRDefault="007B7C46" w:rsidP="00CA186B">
      <w:pPr>
        <w:spacing w:line="240" w:lineRule="auto"/>
        <w:jc w:val="center"/>
        <w:rPr>
          <w:sz w:val="20"/>
          <w:szCs w:val="20"/>
        </w:rPr>
      </w:pPr>
      <w:r w:rsidRPr="00CA186B">
        <w:rPr>
          <w:sz w:val="20"/>
          <w:szCs w:val="20"/>
        </w:rPr>
        <w:t>Autores: Anderson Bornachera Balaguera y Juan Andrés Mosquera Núñez</w:t>
      </w:r>
      <w:r w:rsidRPr="00CA186B">
        <w:rPr>
          <w:sz w:val="20"/>
          <w:szCs w:val="20"/>
        </w:rPr>
        <w:br/>
        <w:t xml:space="preserve">Repositorio en Docker Hub: </w:t>
      </w:r>
      <w:hyperlink r:id="rId5" w:history="1">
        <w:r w:rsidRPr="00CA186B">
          <w:rPr>
            <w:rStyle w:val="Hipervnculo"/>
            <w:sz w:val="20"/>
            <w:szCs w:val="20"/>
          </w:rPr>
          <w:t>https://hub.docker.com/r/reaper001/traductor-genai</w:t>
        </w:r>
      </w:hyperlink>
    </w:p>
    <w:p w14:paraId="7CDA4745" w14:textId="5C13E2DD" w:rsidR="007B7C46" w:rsidRPr="00CA186B" w:rsidRDefault="00EB50A3" w:rsidP="00CA186B">
      <w:pPr>
        <w:spacing w:line="240" w:lineRule="auto"/>
        <w:jc w:val="center"/>
        <w:rPr>
          <w:sz w:val="20"/>
          <w:szCs w:val="20"/>
        </w:rPr>
      </w:pPr>
      <w:r w:rsidRPr="00CA186B">
        <w:rPr>
          <w:rFonts w:ascii="Aptos" w:hAnsi="Aptos"/>
          <w:b/>
          <w:bCs/>
          <w:sz w:val="20"/>
          <w:szCs w:val="20"/>
        </w:rPr>
        <w:t>Arquitectura del Sistema</w:t>
      </w:r>
      <w:r w:rsidRPr="00CA186B">
        <w:rPr>
          <w:rFonts w:ascii="Aptos" w:hAnsi="Aptos"/>
          <w:sz w:val="20"/>
          <w:szCs w:val="20"/>
        </w:rPr>
        <w:t xml:space="preserve">: </w:t>
      </w:r>
      <w:r w:rsidR="00CA186B" w:rsidRPr="00CA186B">
        <w:rPr>
          <w:sz w:val="20"/>
          <w:szCs w:val="20"/>
        </w:rPr>
        <w:t>La solución implementa una arquitectura de microservicios orquestada, diseñada para dos entornos distintos utilizando archivos YAML declarativos</w:t>
      </w:r>
      <w:r w:rsidR="00CA186B" w:rsidRPr="00CA186B">
        <w:rPr>
          <w:sz w:val="20"/>
          <w:szCs w:val="20"/>
        </w:rPr>
        <w:t>:</w:t>
      </w:r>
    </w:p>
    <w:p w14:paraId="63081645" w14:textId="25427932" w:rsidR="00CA186B" w:rsidRPr="00CA186B" w:rsidRDefault="00CA186B" w:rsidP="00CA186B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Aptos" w:hAnsi="Aptos"/>
          <w:sz w:val="20"/>
          <w:szCs w:val="20"/>
        </w:rPr>
      </w:pPr>
      <w:r w:rsidRPr="00CA186B">
        <w:rPr>
          <w:rFonts w:ascii="Aptos" w:hAnsi="Aptos"/>
          <w:sz w:val="20"/>
          <w:szCs w:val="20"/>
        </w:rPr>
        <w:t>Servicios:</w:t>
      </w:r>
    </w:p>
    <w:p w14:paraId="0789E980" w14:textId="023032A2" w:rsidR="00CA186B" w:rsidRPr="00CA186B" w:rsidRDefault="00CA186B" w:rsidP="00CA186B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ptos" w:hAnsi="Aptos"/>
          <w:sz w:val="20"/>
          <w:szCs w:val="20"/>
        </w:rPr>
      </w:pPr>
      <w:r w:rsidRPr="00CA186B">
        <w:rPr>
          <w:rFonts w:ascii="Aptos" w:hAnsi="Aptos"/>
          <w:sz w:val="20"/>
          <w:szCs w:val="20"/>
        </w:rPr>
        <w:t>app-traductor: Aplicación Python/</w:t>
      </w:r>
      <w:proofErr w:type="spellStart"/>
      <w:r w:rsidRPr="00CA186B">
        <w:rPr>
          <w:rFonts w:ascii="Aptos" w:hAnsi="Aptos"/>
          <w:sz w:val="20"/>
          <w:szCs w:val="20"/>
        </w:rPr>
        <w:t>Gradio</w:t>
      </w:r>
      <w:proofErr w:type="spellEnd"/>
      <w:r w:rsidRPr="00CA186B">
        <w:rPr>
          <w:rFonts w:ascii="Aptos" w:hAnsi="Aptos"/>
          <w:sz w:val="20"/>
          <w:szCs w:val="20"/>
        </w:rPr>
        <w:t xml:space="preserve"> que consume la API de Google Gemini. En el entorno de </w:t>
      </w:r>
      <w:proofErr w:type="spellStart"/>
      <w:r w:rsidRPr="00CA186B">
        <w:rPr>
          <w:rFonts w:ascii="Aptos" w:hAnsi="Aptos"/>
          <w:sz w:val="20"/>
          <w:szCs w:val="20"/>
        </w:rPr>
        <w:t>Swarm</w:t>
      </w:r>
      <w:proofErr w:type="spellEnd"/>
      <w:r w:rsidRPr="00CA186B">
        <w:rPr>
          <w:rFonts w:ascii="Aptos" w:hAnsi="Aptos"/>
          <w:sz w:val="20"/>
          <w:szCs w:val="20"/>
        </w:rPr>
        <w:t>, este servicio es "</w:t>
      </w:r>
      <w:proofErr w:type="spellStart"/>
      <w:r w:rsidRPr="00CA186B">
        <w:rPr>
          <w:rFonts w:ascii="Aptos" w:hAnsi="Aptos"/>
          <w:sz w:val="20"/>
          <w:szCs w:val="20"/>
        </w:rPr>
        <w:t>stateless</w:t>
      </w:r>
      <w:proofErr w:type="spellEnd"/>
      <w:r w:rsidRPr="00CA186B">
        <w:rPr>
          <w:rFonts w:ascii="Aptos" w:hAnsi="Aptos"/>
          <w:sz w:val="20"/>
          <w:szCs w:val="20"/>
        </w:rPr>
        <w:t>" y escalable.</w:t>
      </w:r>
    </w:p>
    <w:p w14:paraId="442C59FC" w14:textId="03CA790A" w:rsidR="00CA186B" w:rsidRPr="00CA186B" w:rsidRDefault="00CA186B" w:rsidP="00CA186B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ptos" w:hAnsi="Aptos"/>
          <w:sz w:val="20"/>
          <w:szCs w:val="20"/>
        </w:rPr>
      </w:pPr>
      <w:proofErr w:type="spellStart"/>
      <w:r w:rsidRPr="00CA186B">
        <w:rPr>
          <w:rFonts w:ascii="Aptos" w:hAnsi="Aptos"/>
          <w:sz w:val="20"/>
          <w:szCs w:val="20"/>
        </w:rPr>
        <w:t>mlflow</w:t>
      </w:r>
      <w:proofErr w:type="spellEnd"/>
      <w:r w:rsidRPr="00CA186B">
        <w:rPr>
          <w:rFonts w:ascii="Aptos" w:hAnsi="Aptos"/>
          <w:sz w:val="20"/>
          <w:szCs w:val="20"/>
        </w:rPr>
        <w:t>-server: Servidor de seguimiento que centraliza métricas y artefactos.</w:t>
      </w:r>
    </w:p>
    <w:p w14:paraId="0CE560DA" w14:textId="77777777" w:rsidR="00CA186B" w:rsidRPr="00CA186B" w:rsidRDefault="00CA186B" w:rsidP="00CA186B">
      <w:pPr>
        <w:pStyle w:val="Prrafodelista"/>
        <w:spacing w:before="100" w:beforeAutospacing="1" w:after="100" w:afterAutospacing="1" w:line="240" w:lineRule="auto"/>
        <w:ind w:left="1069"/>
        <w:outlineLvl w:val="2"/>
        <w:rPr>
          <w:rFonts w:ascii="Aptos" w:hAnsi="Aptos"/>
          <w:sz w:val="20"/>
          <w:szCs w:val="20"/>
        </w:rPr>
      </w:pPr>
    </w:p>
    <w:p w14:paraId="2AAFB903" w14:textId="346754D2" w:rsidR="00CA186B" w:rsidRPr="00CA186B" w:rsidRDefault="00CA186B" w:rsidP="00CA186B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Aptos" w:hAnsi="Aptos"/>
          <w:sz w:val="20"/>
          <w:szCs w:val="20"/>
        </w:rPr>
      </w:pPr>
      <w:r w:rsidRPr="00CA186B">
        <w:rPr>
          <w:rFonts w:ascii="Aptos" w:hAnsi="Aptos"/>
          <w:sz w:val="20"/>
          <w:szCs w:val="20"/>
        </w:rPr>
        <w:t>Comunicación y Datos:</w:t>
      </w:r>
    </w:p>
    <w:p w14:paraId="29C153D9" w14:textId="7B2DBC80" w:rsidR="00CA186B" w:rsidRPr="00CA186B" w:rsidRDefault="00CA186B" w:rsidP="00CA186B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ptos" w:hAnsi="Aptos"/>
          <w:sz w:val="20"/>
          <w:szCs w:val="20"/>
        </w:rPr>
      </w:pPr>
      <w:r w:rsidRPr="00CA186B">
        <w:rPr>
          <w:rFonts w:ascii="Aptos" w:hAnsi="Aptos"/>
          <w:sz w:val="20"/>
          <w:szCs w:val="20"/>
        </w:rPr>
        <w:t>Los servicios se comunican mediante nombres de dominio internos (DNS de Docker) en una red virtual (traductor-net).</w:t>
      </w:r>
    </w:p>
    <w:p w14:paraId="5A113159" w14:textId="78BA7C60" w:rsidR="00CA186B" w:rsidRPr="00CA186B" w:rsidRDefault="00CA186B" w:rsidP="00CA186B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ptos" w:hAnsi="Aptos"/>
          <w:sz w:val="20"/>
          <w:szCs w:val="20"/>
        </w:rPr>
      </w:pPr>
      <w:r w:rsidRPr="00CA186B">
        <w:rPr>
          <w:rFonts w:ascii="Aptos" w:hAnsi="Aptos"/>
          <w:sz w:val="20"/>
          <w:szCs w:val="20"/>
        </w:rPr>
        <w:t>Persistencia: Se configuraron volúmenes compartidos para asegurar que los artefactos (archivos .</w:t>
      </w:r>
      <w:proofErr w:type="spellStart"/>
      <w:r w:rsidRPr="00CA186B">
        <w:rPr>
          <w:rFonts w:ascii="Aptos" w:hAnsi="Aptos"/>
          <w:sz w:val="20"/>
          <w:szCs w:val="20"/>
        </w:rPr>
        <w:t>txt</w:t>
      </w:r>
      <w:proofErr w:type="spellEnd"/>
      <w:r w:rsidRPr="00CA186B">
        <w:rPr>
          <w:rFonts w:ascii="Aptos" w:hAnsi="Aptos"/>
          <w:sz w:val="20"/>
          <w:szCs w:val="20"/>
        </w:rPr>
        <w:t xml:space="preserve"> generados por la app) sean accesibles y visibles desde la interfaz de </w:t>
      </w:r>
      <w:proofErr w:type="spellStart"/>
      <w:r w:rsidRPr="00CA186B">
        <w:rPr>
          <w:rFonts w:ascii="Aptos" w:hAnsi="Aptos"/>
          <w:sz w:val="20"/>
          <w:szCs w:val="20"/>
        </w:rPr>
        <w:t>MLflow</w:t>
      </w:r>
      <w:proofErr w:type="spellEnd"/>
      <w:r w:rsidRPr="00CA186B">
        <w:rPr>
          <w:rFonts w:ascii="Aptos" w:hAnsi="Aptos"/>
          <w:sz w:val="20"/>
          <w:szCs w:val="20"/>
        </w:rPr>
        <w:t>, resolviendo el aislamiento de sistemas de archivos de los contenedores.</w:t>
      </w:r>
    </w:p>
    <w:p w14:paraId="692CC2C7" w14:textId="77777777" w:rsidR="00CA186B" w:rsidRPr="00CA186B" w:rsidRDefault="00CA186B" w:rsidP="00CA18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>Comandos Principales Utilizados</w:t>
      </w:r>
    </w:p>
    <w:p w14:paraId="2FF0F010" w14:textId="50028C62" w:rsidR="00CA186B" w:rsidRPr="00CA186B" w:rsidRDefault="00CA186B" w:rsidP="00CA186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Desarrollo y Construcción (Docker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Compose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):</w:t>
      </w:r>
    </w:p>
    <w:p w14:paraId="473B38CA" w14:textId="0D56C856" w:rsidR="00CA186B" w:rsidRPr="00CA186B" w:rsidRDefault="00CA186B" w:rsidP="00CA186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docker-compose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up --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build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: Levanta el entorno localmente, construyendo la imagen y mapeando puertos (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Gradio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: 7860,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MLflow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: 5001).</w:t>
      </w:r>
    </w:p>
    <w:p w14:paraId="4F1C4CC6" w14:textId="55504011" w:rsidR="00CA186B" w:rsidRPr="00CA186B" w:rsidRDefault="00CA186B" w:rsidP="00CA186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tag ...: Etiquetado de la imagen para preparar su subida.</w:t>
      </w:r>
    </w:p>
    <w:p w14:paraId="7FB6C856" w14:textId="3A2C7E00" w:rsidR="00CA186B" w:rsidRPr="00CA186B" w:rsidRDefault="00CA186B" w:rsidP="00CA186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reaper001/traductor-genai:1.0.0: Publicación de la imagen en Docker Hub.</w:t>
      </w:r>
    </w:p>
    <w:p w14:paraId="5D4B0090" w14:textId="77777777" w:rsidR="00CA186B" w:rsidRPr="00CA186B" w:rsidRDefault="00CA186B" w:rsidP="00CA186B">
      <w:pPr>
        <w:pStyle w:val="Prrafodelista"/>
        <w:spacing w:before="100" w:beforeAutospacing="1" w:after="100" w:afterAutospacing="1" w:line="240" w:lineRule="auto"/>
        <w:ind w:left="1069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</w:p>
    <w:p w14:paraId="3BFD9F2E" w14:textId="7D1E24C3" w:rsidR="00CA186B" w:rsidRPr="00CA186B" w:rsidRDefault="00CA186B" w:rsidP="00CA186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Orquestación y Producción (Docker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Swarm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):</w:t>
      </w:r>
    </w:p>
    <w:p w14:paraId="556659AA" w14:textId="345F1560" w:rsidR="00CA186B" w:rsidRPr="00CA186B" w:rsidRDefault="00CA186B" w:rsidP="00CA186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swarm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init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: Inicialización del nodo Manager.</w:t>
      </w:r>
    </w:p>
    <w:p w14:paraId="3063B9DD" w14:textId="2D753534" w:rsidR="00CA186B" w:rsidRPr="00CA186B" w:rsidRDefault="00CA186B" w:rsidP="00CA186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export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$(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xargs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&lt; .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): Carga segura de variables de entorno (API KEY) en la sesión actual para ser inyectadas en el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stack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.</w:t>
      </w:r>
    </w:p>
    <w:p w14:paraId="6E5705C2" w14:textId="0486E5F5" w:rsidR="00CA186B" w:rsidRPr="00CA186B" w:rsidRDefault="00CA186B" w:rsidP="00CA186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stack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deploy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-c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docker-stack.yml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traductor_stack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: Despliegue del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stack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completo en el clúster.</w:t>
      </w:r>
    </w:p>
    <w:p w14:paraId="50C102C1" w14:textId="4630A838" w:rsidR="00CA186B" w:rsidRPr="00CA186B" w:rsidRDefault="00CA186B" w:rsidP="00CA186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service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scale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traductor_stack_app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-traductor=3: Escalado manual del servicio de traducción a 3 réplicas simultáneas.</w:t>
      </w:r>
    </w:p>
    <w:p w14:paraId="04492DC7" w14:textId="17938F2A" w:rsidR="006B5FBC" w:rsidRPr="00CA186B" w:rsidRDefault="00CA186B" w:rsidP="00CA186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stack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services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traductor_stack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: Verificación del estado y conteo de réplicas.</w:t>
      </w:r>
    </w:p>
    <w:p w14:paraId="0673004B" w14:textId="77777777" w:rsidR="00CA186B" w:rsidRPr="00CA186B" w:rsidRDefault="00CA186B" w:rsidP="00CA18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>Observaciones y Conclusiones</w:t>
      </w:r>
    </w:p>
    <w:p w14:paraId="77FF384A" w14:textId="4523392C" w:rsidR="00CA186B" w:rsidRPr="00CA186B" w:rsidRDefault="00CA186B" w:rsidP="00CA186B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Escalabilidad y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Routing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Mesh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: Se demostró exitosamente la capacidad de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Swarm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para escalar el servicio app-traductor de 2 a 3 réplicas en caliente sin interrumpir el servicio. El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Routing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Mesh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de Docker balanceó correctamente las peticiones entrantes en el puerto 7860 hacia cualquiera de los contenedores activos.</w:t>
      </w:r>
    </w:p>
    <w:p w14:paraId="7109BB57" w14:textId="479A8675" w:rsidR="00CA186B" w:rsidRPr="00CA186B" w:rsidRDefault="00CA186B" w:rsidP="00CA186B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Integración 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MLflow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: La configuración de la variable MLFLOW_TRACKING_URI y, crucialmente, el uso de volúmenes compartidos, permitió que cada interacción con la IA quedara registrada con sus métricas de latencia y los archivos de texto resultantes (artefactos), visibles en el puerto 5001.</w:t>
      </w:r>
    </w:p>
    <w:p w14:paraId="0B271418" w14:textId="1D64F7FC" w:rsidR="00CA186B" w:rsidRPr="00CA186B" w:rsidRDefault="00CA186B" w:rsidP="00CA186B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Seguridad: Se implementaron buenas prácticas como el uso de .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dockerignore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para evitar filtrar el archivo .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 xml:space="preserve"> o carpetas innecesarias (</w:t>
      </w:r>
      <w:proofErr w:type="spellStart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CA186B"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  <w:t>) en la imagen pública de Docker Hub.</w:t>
      </w:r>
    </w:p>
    <w:sectPr w:rsidR="00CA186B" w:rsidRPr="00CA18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754"/>
    <w:multiLevelType w:val="hybridMultilevel"/>
    <w:tmpl w:val="50E01DE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D73ABC"/>
    <w:multiLevelType w:val="hybridMultilevel"/>
    <w:tmpl w:val="EF60B7B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E550FF2"/>
    <w:multiLevelType w:val="hybridMultilevel"/>
    <w:tmpl w:val="1C7AD6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4091A"/>
    <w:multiLevelType w:val="hybridMultilevel"/>
    <w:tmpl w:val="4588D5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71287"/>
    <w:multiLevelType w:val="hybridMultilevel"/>
    <w:tmpl w:val="EE6AE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460C5"/>
    <w:multiLevelType w:val="hybridMultilevel"/>
    <w:tmpl w:val="3E7A4E04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9EC4AA2"/>
    <w:multiLevelType w:val="hybridMultilevel"/>
    <w:tmpl w:val="E520B24E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98531E5"/>
    <w:multiLevelType w:val="multilevel"/>
    <w:tmpl w:val="977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6141C"/>
    <w:multiLevelType w:val="multilevel"/>
    <w:tmpl w:val="AEB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4419C"/>
    <w:multiLevelType w:val="hybridMultilevel"/>
    <w:tmpl w:val="8390A7C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FCD56FF"/>
    <w:multiLevelType w:val="hybridMultilevel"/>
    <w:tmpl w:val="1FB835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512190">
    <w:abstractNumId w:val="8"/>
  </w:num>
  <w:num w:numId="2" w16cid:durableId="214242716">
    <w:abstractNumId w:val="0"/>
  </w:num>
  <w:num w:numId="3" w16cid:durableId="388579723">
    <w:abstractNumId w:val="7"/>
  </w:num>
  <w:num w:numId="4" w16cid:durableId="427122505">
    <w:abstractNumId w:val="4"/>
  </w:num>
  <w:num w:numId="5" w16cid:durableId="86847221">
    <w:abstractNumId w:val="3"/>
  </w:num>
  <w:num w:numId="6" w16cid:durableId="984236137">
    <w:abstractNumId w:val="6"/>
  </w:num>
  <w:num w:numId="7" w16cid:durableId="801460269">
    <w:abstractNumId w:val="1"/>
  </w:num>
  <w:num w:numId="8" w16cid:durableId="1743483729">
    <w:abstractNumId w:val="2"/>
  </w:num>
  <w:num w:numId="9" w16cid:durableId="1652834139">
    <w:abstractNumId w:val="5"/>
  </w:num>
  <w:num w:numId="10" w16cid:durableId="733940325">
    <w:abstractNumId w:val="9"/>
  </w:num>
  <w:num w:numId="11" w16cid:durableId="1202782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46"/>
    <w:rsid w:val="00371C74"/>
    <w:rsid w:val="00374170"/>
    <w:rsid w:val="003B4215"/>
    <w:rsid w:val="006B5FBC"/>
    <w:rsid w:val="007B7C46"/>
    <w:rsid w:val="008E6A08"/>
    <w:rsid w:val="00C90A3E"/>
    <w:rsid w:val="00CA186B"/>
    <w:rsid w:val="00EB50A3"/>
    <w:rsid w:val="00EE1238"/>
    <w:rsid w:val="00F4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735EB"/>
  <w15:chartTrackingRefBased/>
  <w15:docId w15:val="{91837286-1B62-3740-8649-55679EC6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C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C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7C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B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B7C46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EB50A3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CA18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r/reaper001/traductor-gen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BORNACHERA BALAGUERA</dc:creator>
  <cp:keywords/>
  <dc:description/>
  <cp:lastModifiedBy>Anderson Bornachera Balaguera</cp:lastModifiedBy>
  <cp:revision>3</cp:revision>
  <dcterms:created xsi:type="dcterms:W3CDTF">2025-11-02T03:08:00Z</dcterms:created>
  <dcterms:modified xsi:type="dcterms:W3CDTF">2025-11-14T23:49:00Z</dcterms:modified>
</cp:coreProperties>
</file>