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Protection Impact Assessment</w:t>
      </w:r>
    </w:p>
    <w:p>
      <w:pPr>
        <w:pStyle w:val="Heading1"/>
      </w:pPr>
      <w:r>
        <w:t xml:space="preserve">Biometric office access control (facial recognition)</w:t>
      </w:r>
    </w:p>
    <w:p>
      <w:r>
        <w:t xml:space="preserve">Reference DPIA-2026-BIO-001 · Acme Holdings Ltd · Status APPROVED · Generated 2026-07-30</w:t>
      </w:r>
    </w:p>
    <w:p>
      <w:r>
        <w:t xml:space="preserve">Deployment of facial-recognition readers at office turnstiles to authenticate employees and authorised contractors. Templates are stored by a UK-hosted processor. Badge access remains available as a fallback.</w:t>
      </w:r>
    </w:p>
    <w:p>
      <w:pPr>
        <w:pStyle w:val="Heading2"/>
      </w:pPr>
      <w:r>
        <w:t xml:space="preserve">Article 36 prior consultation</w:t>
      </w:r>
    </w:p>
    <w:p>
      <w:r>
        <w:rPr>
          <w:b/>
          <w:bCs/>
        </w:rPr>
        <w:t xml:space="preserve">REQUIRED — consult the ICO before starting processing</w:t>
      </w:r>
    </w:p>
    <w:p>
      <w:r>
        <w:t xml:space="preserve">Residual risk remains HIGH after planned measures (1 open high/critical risk). Consult the ICO under Article 36 before starting the processing unless residual risk can be reduced further.</w:t>
      </w:r>
    </w:p>
    <w:p>
      <w:pPr>
        <w:pStyle w:val="Heading2"/>
      </w:pPr>
      <w:r>
        <w:t xml:space="preserve">Processing context</w:t>
      </w:r>
    </w:p>
    <w:p>
      <w:r>
        <w:rPr>
          <w:b/>
          <w:bCs/>
        </w:rPr>
        <w:t xml:space="preserve">What is the processing activity called?</w:t>
      </w:r>
    </w:p>
    <w:p>
      <w:r>
        <w:t xml:space="preserve">Biometric office access control</w:t>
      </w:r>
    </w:p>
    <w:p>
      <w:r>
        <w:rPr>
          <w:b/>
          <w:bCs/>
        </w:rPr>
        <w:t xml:space="preserve">Describe the purpose of the processing and the intended outcomes.</w:t>
      </w:r>
    </w:p>
    <w:p>
      <w:r>
        <w:t xml:space="preserve">Authenticate staff and contractors at building entrances to reduce tailgating and unauthorised physical access, replacing shared PIN codes.</w:t>
      </w:r>
    </w:p>
    <w:p>
      <w:r>
        <w:rPr>
          <w:b/>
          <w:bCs/>
        </w:rPr>
        <w:t xml:space="preserve">Is special category data processed?</w:t>
      </w:r>
    </w:p>
    <w:p>
      <w:r>
        <w:t xml:space="preserve">Yes — biometric data used to uniquely identify a natural person (Article 9).</w:t>
      </w:r>
    </w:p>
    <w:p>
      <w:pPr>
        <w:pStyle w:val="Heading2"/>
      </w:pPr>
      <w:r>
        <w:t xml:space="preserve">Necessity and proportionality</w:t>
      </w:r>
    </w:p>
    <w:p>
      <w:r>
        <w:rPr>
          <w:b/>
          <w:bCs/>
        </w:rPr>
        <w:t xml:space="preserve">Why is biometric processing necessary for this purpose?</w:t>
      </w:r>
    </w:p>
    <w:p>
      <w:r>
        <w:t xml:space="preserve">PINs and shared cards were repeatedly shared and lost. Biometrics bind access to the individual. A badge-only option remains for staff who object or cannot enrol.</w:t>
      </w:r>
    </w:p>
    <w:p>
      <w:r>
        <w:rPr>
          <w:b/>
          <w:bCs/>
        </w:rPr>
        <w:t xml:space="preserve">What Article 9(2) condition applies?</w:t>
      </w:r>
    </w:p>
    <w:p>
      <w:r>
        <w:t xml:space="preserve">Explicit consent for enrolment, with employment/security context documented; withdrawal reverts the individual to badge access without detriment beyond delayed entry verification.</w:t>
      </w:r>
    </w:p>
    <w:p>
      <w:pPr>
        <w:pStyle w:val="Heading2"/>
      </w:pPr>
      <w:r>
        <w:t xml:space="preserve">Identified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L</w:t>
            </w:r>
          </w:p>
        </w:tc>
        <w:tc>
          <w:p>
            <w:r>
              <w:rPr>
                <w:b/>
                <w:bCs/>
              </w:rPr>
              <w:t xml:space="preserve">I</w:t>
            </w:r>
          </w:p>
        </w:tc>
        <w:tc>
          <w:p>
            <w:r>
              <w:rPr>
                <w:b/>
                <w:bCs/>
              </w:rPr>
              <w:t xml:space="preserve">Residual</w:t>
            </w:r>
          </w:p>
        </w:tc>
        <w:tc>
          <w:p>
            <w:r>
              <w:rPr>
                <w:b/>
                <w:bCs/>
              </w:rPr>
              <w:t xml:space="preserve">Level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Special category biometric identification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12.6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OPEN</w:t>
            </w:r>
          </w:p>
        </w:tc>
      </w:tr>
      <w:tr>
        <w:tc>
          <w:p>
            <w:r>
              <w:t xml:space="preserve">Function creep — attendance monitoring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8.6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MITIGATED</w:t>
            </w:r>
          </w:p>
        </w:tc>
      </w:tr>
      <w:tr>
        <w:tc>
          <w:p>
            <w:r>
              <w:t xml:space="preserve">Biometric template compromise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MITIGATED</w:t>
            </w:r>
          </w:p>
        </w:tc>
      </w:tr>
    </w:tbl>
    <w:p>
      <w:pPr>
        <w:pStyle w:val="Heading2"/>
      </w:pPr>
      <w:r>
        <w:t xml:space="preserve">Approvals</w:t>
      </w:r>
    </w:p>
    <w:p>
      <w:r>
        <w:t xml:space="preserve">2026-07-28 14:20 — APPROVED at DPO: Residual biometric risk remains HIGH — monitor opt-out rate; revisit Art. 36 if residual cannot be reduced before wider go-live.</w:t>
      </w:r>
    </w:p>
    <w:p>
      <w:pPr>
        <w:jc w:val="center"/>
      </w:pPr>
      <w:r>
        <w:rPr>
          <w:i/>
          <w:iCs/>
        </w:rPr>
        <w:t xml:space="preserve">Generated by Shieldwise Privacy Platform — sample output for portfolio evidence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2026-07-30T13:11:19.128Z</dcterms:created>
  <dcterms:modified xsi:type="dcterms:W3CDTF">2026-07-30T13:11:19.129Z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