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pPr>
        <w:sectPr>
          <w:headerReference w:type="default" r:id="rId7"/>
          <w:pgSz w:orient="portrait" w:w="11905.511811023622" w:h="16837.79527559055"/>
          <w:pgMar w:top="1440" w:right="1440" w:bottom="1440" w:left="1440" w:header="720" w:footer="720" w:gutter="0"/>
          <w:cols w:num="1" w:space="720"/>
        </w:sectPr>
      </w:pPr>
    </w:p>
    <w:p>
      <w:bookmarkStart w:id="5" w:name="_Toc5"/>
      <w:r>
        <w:t>Projet Soumis </w:t>
      </w:r>
      <w:bookmarkEnd w:id="5"/>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2019-01-25T15:31:36+00:00</dcterms:created>
  <dcterms:modified xsi:type="dcterms:W3CDTF">2019-01-25T15:31:36+00:00</dcterms:modified>
</cp:coreProperties>
</file>

<file path=docProps/custom.xml><?xml version="1.0" encoding="utf-8"?>
<Properties xmlns="http://schemas.openxmlformats.org/officeDocument/2006/custom-properties" xmlns:vt="http://schemas.openxmlformats.org/officeDocument/2006/docPropsVTypes"/>
</file>