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bookmarkStart w:id="1" w:name="_Toc1"/>
      <w:r>
        <w:t>Les publications</w:t>
      </w:r>
      <w:bookmarkEnd w:id="1"/>
    </w:p>
    <w:p>
      <w:pPr/>
      <w:r>
        <w:rPr/>
        <w:t xml:space="preserve"> </w:t>
      </w:r>
    </w:p>
    <w:p>
      <w:pPr/>
      <w:r>
        <w:rPr/>
        <w:t xml:space="preserve"> Admin ,  Admin , Jan 09 2019</w:t>
      </w:r>
    </w:p>
    <w:p>
      <w:bookmarkStart w:id="2" w:name="_Toc2"/>
      <w:r>
        <w:t>Les publications</w:t>
      </w:r>
      <w:bookmarkEnd w:id="2"/>
    </w:p>
    <w:p>
      <w:pPr/>
      <w:r>
        <w:rPr/>
        <w:t xml:space="preserve"> </w:t>
      </w:r>
    </w:p>
    <w:p>
      <w:pPr/>
      <w:r>
        <w:rPr/>
        <w:t xml:space="preserve"> Admin 2019-01-08 00:00:00</w:t>
      </w:r>
    </w:p>
    <w:p>
      <w:bookmarkStart w:id="3" w:name="_Toc3"/>
      <w:r>
        <w:t>Les publications</w:t>
      </w:r>
      <w:bookmarkEnd w:id="3"/>
    </w:p>
    <w:p>
      <w:pPr/>
      <w:r>
        <w:rPr/>
        <w:t xml:space="preserve"> </w:t>
      </w:r>
    </w:p>
    <w:p>
      <w:pPr/>
      <w:r>
        <w:rPr/>
        <w:t xml:space="preserve"> Admin ,  Mattie , May 11 2018</w:t>
      </w:r>
    </w:p>
    <w:p>
      <w:bookmarkStart w:id="4" w:name="_Toc4"/>
      <w:r>
        <w:t>Les publications</w:t>
      </w:r>
      <w:bookmarkEnd w:id="4"/>
    </w:p>
    <w:p>
      <w:pPr/>
      <w:r>
        <w:rPr/>
        <w:t xml:space="preserve"> </w:t>
      </w:r>
    </w:p>
    <w:p>
      <w:pPr/>
      <w:r>
        <w:rPr/>
        <w:t xml:space="preserve"> Admin ,  Abraham , Dec 11 2018</w:t>
      </w:r>
    </w:p>
    <w:p>
      <w:bookmarkStart w:id="5" w:name="_Toc5"/>
      <w:r>
        <w:t>Les publications</w:t>
      </w:r>
      <w:bookmarkEnd w:id="5"/>
    </w:p>
    <w:p>
      <w:pPr/>
      <w:r>
        <w:rPr/>
        <w:t xml:space="preserve"> </w:t>
      </w:r>
    </w:p>
    <w:p>
      <w:pPr/>
      <w:r>
        <w:rPr/>
        <w:t xml:space="preserve"> Admin ,  Eriberto , Jan 02 2019</w:t>
      </w:r>
    </w:p>
    <w:p>
      <w:pPr>
        <w:sectPr>
          <w:headerReference w:type="default" r:id="rId7"/>
          <w:pgSz w:orient="portrait" w:w="11905.511811023622" w:h="16837.79527559055"/>
          <w:pgMar w:top="1440" w:right="1440" w:bottom="1440" w:left="1440" w:header="720" w:footer="720" w:gutter="0"/>
          <w:cols w:num="1" w:space="720"/>
        </w:sectPr>
      </w:pPr>
    </w:p>
    <w:p>
      <w:bookmarkStart w:id="6" w:name="_Toc6"/>
      <w:r>
        <w:t>Projet Soumis </w:t>
      </w:r>
      <w:bookmarkEnd w:id="6"/>
    </w:p>
    <w:tbl>
      <w:tblGrid>
        <w:gridCol w:w="4000" w:type="dxa"/>
        <w:gridCol w:w="4000" w:type="dxa"/>
      </w:tblGrid>
      <w:tblPr>
        <w:tblStyle w:val="Fancy Table"/>
      </w:tblPr>
      <w:tr>
        <w:trPr/>
        <w:tc>
          <w:tcPr>
            <w:tcW w:w="4000" w:type="dxa"/>
            <w:vAlign w:val="center"/>
          </w:tcPr>
          <w:p>
            <w:pPr/>
            <w:r>
              <w:rPr/>
              <w:t xml:space="preserve">Intitulé: Etude sur les enfants de rue face au SIDA</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12 millions d'euros</w:t>
            </w:r>
          </w:p>
        </w:tc>
      </w:tr>
      <w:tr>
        <w:trPr/>
        <w:tc>
          <w:tcPr>
            <w:tcW w:w="4000" w:type="dxa"/>
            <w:vAlign w:val="center"/>
          </w:tcPr>
          <w:p>
            <w:pPr/>
            <w:r>
              <w:rPr/>
              <w:t xml:space="preserve">Durée du projet: 12</w:t>
            </w:r>
          </w:p>
        </w:tc>
        <w:tc>
          <w:tcPr>
            <w:tcW w:w="4000" w:type="dxa"/>
            <w:vAlign w:val="center"/>
          </w:tcPr>
          <w:p>
            <w:pPr/>
            <w:r>
              <w:rPr/>
              <w:t xml:space="preserve">Equipe de recherche et partenairiats etablis :  </w:t>
            </w:r>
          </w:p>
        </w:tc>
      </w:tr>
      <w:tr>
        <w:trPr/>
        <w:tc>
          <w:tcPr>
            <w:tcW w:w="4000" w:type="dxa"/>
            <w:vAlign w:val="center"/>
          </w:tcPr>
          <w:p>
            <w:pPr/>
            <w:r>
              <w:rPr/>
              <w:t xml:space="preserve">Site de mise en oeuvre au BF: Banfaro</w:t>
            </w:r>
          </w:p>
        </w:tc>
        <w:tc>
          <w:tcPr>
            <w:tcW w:w="4000" w:type="dxa"/>
            <w:vAlign w:val="center"/>
          </w:tcPr>
          <w:p>
            <w:pPr/>
            <w:r>
              <w:rPr/>
              <w:t xml:space="preserve">Code Muraz: Banfaro</w:t>
            </w:r>
          </w:p>
        </w:tc>
      </w:tr>
      <w:tr>
        <w:trPr>
          <w:trHeight w:val="1750" w:hRule="atLeast"/>
        </w:trPr>
        <w:tc>
          <w:tcPr>
            <w:tcW w:w="10000" w:type="dxa"/>
            <w:vAlign w:val="center"/>
          </w:tcPr>
          <w:p>
            <w:pPr/>
            <w:r>
              <w:rPr/>
              <w:t xml:space="preserve">Contexte/ justification: Il s'est deroule dans un contexte d'expansion de mesurer des SDF</w:t>
            </w:r>
          </w:p>
        </w:tc>
      </w:tr>
      <w:tr>
        <w:trPr>
          <w:trHeight w:val="1750" w:hRule="atLeast"/>
        </w:trPr>
        <w:tc>
          <w:tcPr>
            <w:tcW w:w="10000" w:type="dxa"/>
            <w:vAlign w:val="center"/>
          </w:tcPr>
          <w:p>
            <w:pPr/>
            <w:r>
              <w:rPr/>
              <w:t xml:space="preserve">Question de recherche / hypothèse: Comment surpasser ce problème?</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Etude transversale et denombrable</w:t>
            </w:r>
          </w:p>
        </w:tc>
      </w:tr>
      <w:tr>
        <w:trPr>
          <w:trHeight w:val="2000" w:hRule="atLeast"/>
        </w:trPr>
        <w:tc>
          <w:tcPr>
            <w:tcW w:w="10000" w:type="dxa"/>
          </w:tcPr>
          <w:p>
            <w:pPr/>
            <w:r>
              <w:rPr/>
              <w:t xml:space="preserve">Activités menées jusqu'en dateQuestion: Etude transversale et denombrable</w:t>
            </w:r>
          </w:p>
        </w:tc>
      </w:tr>
      <w:tr>
        <w:trPr>
          <w:trHeight w:val="2000" w:hRule="atLeast"/>
        </w:trPr>
        <w:tc>
          <w:tcPr>
            <w:tcW w:w="10000" w:type="dxa"/>
          </w:tcPr>
          <w:p>
            <w:pPr/>
            <w:r>
              <w:rPr/>
              <w:t xml:space="preserve">resultats obtenu jusqu'en dateQuestion: Etude transversale et denombrable</w:t>
            </w:r>
          </w:p>
        </w:tc>
      </w:tr>
      <w:tr>
        <w:trPr>
          <w:trHeight w:val="3000" w:hRule="atLeast"/>
        </w:trPr>
        <w:tc>
          <w:tcPr>
            <w:tcW w:w="10000" w:type="dxa"/>
          </w:tcPr>
          <w:p>
            <w:pPr/>
            <w:r>
              <w:rPr/>
              <w:t xml:space="preserve">Valorisation planifiée ou déja effectuée des resultats préliminaires du projet: </w:t>
            </w:r>
          </w:p>
          <w:p>
            <w:pPr/>
            <w:r>
              <w:rPr/>
              <w:t xml:space="preserve">Articles: 1</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7" w:name="_Toc7"/>
      <w:r>
        <w:t>Projet Soumis </w:t>
      </w:r>
      <w:bookmarkEnd w:id="7"/>
    </w:p>
    <w:tbl>
      <w:tblGrid>
        <w:gridCol w:w="4000" w:type="dxa"/>
        <w:gridCol w:w="4000" w:type="dxa"/>
      </w:tblGrid>
      <w:tblPr>
        <w:tblStyle w:val="Fancy Table"/>
      </w:tblPr>
      <w:tr>
        <w:trPr/>
        <w:tc>
          <w:tcPr>
            <w:tcW w:w="4000" w:type="dxa"/>
            <w:vAlign w:val="center"/>
          </w:tcPr>
          <w:p>
            <w:pPr/>
            <w:r>
              <w:rPr/>
              <w:t xml:space="preserve">Intitulé: Evaluation de l’effet larvicide des extraits de Vernonia cinerea Less (Asteraceae) sur les larves de Anopheles gambiae s.s de l’IRSS/DRO Bobo Dioulasso, Burkina Faso.</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1500 euros</w:t>
            </w:r>
          </w:p>
        </w:tc>
      </w:tr>
      <w:tr>
        <w:trPr/>
        <w:tc>
          <w:tcPr>
            <w:tcW w:w="4000" w:type="dxa"/>
            <w:vAlign w:val="center"/>
          </w:tcPr>
          <w:p>
            <w:pPr/>
            <w:r>
              <w:rPr/>
              <w:t xml:space="preserve">Durée du projet: 24</w:t>
            </w:r>
          </w:p>
        </w:tc>
        <w:tc>
          <w:tcPr>
            <w:tcW w:w="4000" w:type="dxa"/>
            <w:vAlign w:val="center"/>
          </w:tcPr>
          <w:p>
            <w:pPr/>
            <w:r>
              <w:rPr/>
              <w:t xml:space="preserve">Equipe de recherche et partenairiats etablis :   Dramane , Silas , Rhett , Rhett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Les moustiques sont des vecteurs responsables de la transmission de diverses maladies telles que le paludisme, la filariose, la
fièvre jaune, la dengue et d’autres infections (Pugazhvendan and Elumali, 2013). En 2015 selon l’OMS on a enregistré 212
millions de cas de paludisme dans le monde et 429 000 décès associés (WHO, 2016). Beaucoup d’approches ont été
développées pour contrôler les moustiques, dans lesquels le contrôle des moustiques au stade larvaire est considéré comme
un moyen efficace dans la gestion intégrée des vecteurs (Rutledge et al., 2003). Les méthodes actuelles de lutte contre les
moustiques reposent sur des insecticides synthétiques qui sont la première ligne d’action en raison de leur action rapide.
Malheureusement, la plupart de ces produits chimiques deviennent de plus en plus inefficaces contre les moustiques et ont des
effets néfastes pour l’homme, les animaux et l’environnement du fait de leur accumulation dans le milieu naturel (Namountougou
et al., 2012). Dans un tel contexte de nouveaux outils de recherche sont nécessaires tels que les insecticides biologiques
facilement dégradables. Vernonia cinerea Less appartenant à la famille des Astéracées est une plante annuelle largement
répandue en Inde et dans la partie Ouest du Burkina Faso. Notre étude vise à évaluer l’effet des extraits de Vernonia cinerea
Less sur les larves du stade 3 et 4 de Anopheles gambiae s.s.</w:t>
            </w:r>
          </w:p>
        </w:tc>
      </w:tr>
      <w:tr>
        <w:trPr>
          <w:trHeight w:val="1750" w:hRule="atLeast"/>
        </w:trPr>
        <w:tc>
          <w:tcPr>
            <w:tcW w:w="10000" w:type="dxa"/>
            <w:vAlign w:val="center"/>
          </w:tcPr>
          <w:p>
            <w:pPr/>
            <w:r>
              <w:rPr/>
              <w:t xml:space="preserve">Question de recherche / hypothèse: Wolbachia pourrait conférer une protection contre les champignons pathogènes du
Metarhizium chez Ae. Aegypti.</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Les lyophilisats des extraits seront utilisées pour préparer les solutions stock. La préparation des solutions des extraits sera faite
selon les instructions et protocoles pour les bio essais de l’IRD-LIN, 2006 (IRD-LIN, 2006). Les solutions tests seront préparées
a 100mg/L, 10mg/L, 1mg/L, 0,1mg/L, 0,01 mg/L etc.
Les larves de moustiques seront constituées d’espèces de Anopheles gambiae ss provenant de l’insectarium de l’IRSS/DRO
Bobo Dioulasso. Des tests expérimentaux seront effectués au laboratoire sur les larves L3 et L4 de Anopheles gambiae ss.
Le bio essai pour l’activité larvicide sera effectué en utilisant le protocole de l’OMS. La lecture sera faite après chaque 2 4 h et
48h. Trente (30) larves stade fin L3 début L4 seront prélevées puis déposées dans chaque gobelet. Le même nombre de larves
sera placé dans un bac témoin contenant 100 ml.
Lors de la lecture des tests, si la mortalité des témoins est comprise entre 0 et 5% le test est validé. Lorsque celle-ci est comprise
entre 5 et 20 %, le test est validé après correction grâce à la formule d’Abbott qui donne une mortalité corrigée : Mc = ((%
mortalitéTraités-% mortalitéTémoins)/(100-% mortalitéTemoins))x 100 .
Lorsque cette mortalité est supérieure à 20 % le test n’est pas validé et doit être recommencé. Le logiciel Probit analysis sera
utilisé pour déterminer de LC50 et LC90.</w:t>
            </w:r>
          </w:p>
        </w:tc>
      </w:tr>
      <w:tr>
        <w:trPr>
          <w:trHeight w:val="2000" w:hRule="atLeast"/>
        </w:trPr>
        <w:tc>
          <w:tcPr>
            <w:tcW w:w="10000" w:type="dxa"/>
          </w:tcPr>
          <w:p>
            <w:pPr/>
            <w:r>
              <w:rPr/>
              <w:t xml:space="preserve">Activités menées jusqu'en dateQuestion: Les lyophilisats des extraits seront utilisées pour préparer les solutions stock. La préparation des solutions des extraits sera faite
selon les instructions et protocoles pour les bio essais de l’IRD-LIN, 2006 (IRD-LIN, 2006). Les solutions tests seront préparées
a 100mg/L, 10mg/L, 1mg/L, 0,1mg/L, 0,01 mg/L etc.
Les larves de moustiques seront constituées d’espèces de Anopheles gambiae ss provenant de l’insectarium de l’IRSS/DRO
Bobo Dioulasso. Des tests expérimentaux seront effectués au laboratoire sur les larves L3 et L4 de Anopheles gambiae ss.
Le bio essai pour l’activité larvicide sera effectué en utilisant le protocole de l’OMS. La lecture sera faite après chaque 2 4 h et
48h. Trente (30) larves stade fin L3 début L4 seront prélevées puis déposées dans chaque gobelet. Le même nombre de larves
sera placé dans un bac témoin contenant 100 ml.
Lors de la lecture des tests, si la mortalité des témoins est comprise entre 0 et 5% le test est validé. Lorsque celle-ci est comprise
entre 5 et 20 %, le test est validé après correction grâce à la formule d’Abbott qui donne une mortalité corrigée : Mc = ((%
mortalitéTraités-% mortalitéTémoins)/(100-% mortalitéTemoins))x 100 .
Lorsque cette mortalité est supérieure à 20 % le test n’est pas validé et doit être recommencé. Le logiciel Probit analysis sera
utilisé pour déterminer de LC50 et LC90.</w:t>
            </w:r>
          </w:p>
        </w:tc>
      </w:tr>
      <w:tr>
        <w:trPr>
          <w:trHeight w:val="2000" w:hRule="atLeast"/>
        </w:trPr>
        <w:tc>
          <w:tcPr>
            <w:tcW w:w="10000" w:type="dxa"/>
          </w:tcPr>
          <w:p>
            <w:pPr/>
            <w:r>
              <w:rPr/>
              <w:t xml:space="preserve">resultats obtenu jusqu'en dateQuestion: Les lyophilisats des extraits seront utilisées pour préparer les solutions stock. La préparation des solutions des extraits sera faite
selon les instructions et protocoles pour les bio essais de l’IRD-LIN, 2006 (IRD-LIN, 2006). Les solutions tests seront préparées
a 100mg/L, 10mg/L, 1mg/L, 0,1mg/L, 0,01 mg/L etc.
Les larves de moustiques seront constituées d’espèces de Anopheles gambiae ss provenant de l’insectarium de l’IRSS/DRO
Bobo Dioulasso. Des tests expérimentaux seront effectués au laboratoire sur les larves L3 et L4 de Anopheles gambiae ss.
Le bio essai pour l’activité larvicide sera effectué en utilisant le protocole de l’OMS. La lecture sera faite après chaque 2 4 h et
48h. Trente (30) larves stade fin L3 début L4 seront prélevées puis déposées dans chaque gobelet. Le même nombre de larves
sera placé dans un bac témoin contenant 100 ml.
Lors de la lecture des tests, si la mortalité des témoins est comprise entre 0 et 5% le test est validé. Lorsque celle-ci est comprise
entre 5 et 20 %, le test est validé après correction grâce à la formule d’Abbott qui donne une mortalité corrigée : Mc = ((%
mortalitéTraités-% mortalitéTémoins)/(100-% mortalitéTemoins))x 100 .
Lorsque cette mortalité est supérieure à 20 % le test n’est pas validé et doit être recommencé. Le logiciel Probit analysis sera
utilisé pour déterminer de LC50 et LC90.</w:t>
            </w:r>
          </w:p>
        </w:tc>
      </w:tr>
      <w:tr>
        <w:trPr>
          <w:trHeight w:val="3000" w:hRule="atLeast"/>
        </w:trPr>
        <w:tc>
          <w:tcPr>
            <w:tcW w:w="10000" w:type="dxa"/>
          </w:tcPr>
          <w:p>
            <w:pPr/>
            <w:r>
              <w:rPr/>
              <w:t xml:space="preserve">Valorisation planifiée ou déja effectuée des resultats préliminaires du projet: </w:t>
            </w:r>
          </w:p>
          <w:p>
            <w:pPr/>
            <w:r>
              <w:rPr/>
              <w:t xml:space="preserve">Articles: 1</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MINISTERE DE LA SANTE</w:t>
    </w:r>
  </w:p>
  <w:p>
    <w:pPr/>
    <w:r>
      <w:rPr/>
      <w:t xml:space="preserve">	  -------------	    </w:t>
    </w:r>
  </w:p>
  <w:p>
    <w:pPr/>
    <w:r>
      <w:rPr/>
      <w:t xml:space="preserve">SECRETARIAT GENERAL</w:t>
    </w:r>
  </w:p>
  <w:p>
    <w:pPr/>
    <w:r>
      <w:rPr/>
      <w:t xml:space="preserve">	  -------------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table" w:customStyle="1" w:styleId="Fancy Table">
    <w:name w:val="Fancy Table"/>
    <w:uiPriority w:val="99"/>
    <w:tblPr>
      <w:tblW w:w="0" w:type="auto"/>
      <w:tblLayout w:type="autofit"/>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tblStylePr w:type="firstRow">
      <w:tcPr>
        <w:tblBorders>
          <w:bottom w:val="single" w:sz="18" w:color="0000FF"/>
        </w:tblBorders>
        <w:tcPr>
          <w:shd w:val="clear" w:fill="66BBFF"/>
        </w:tcPr>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2019-01-25T16:57:36+00:00</dcterms:created>
  <dcterms:modified xsi:type="dcterms:W3CDTF">2019-01-25T16:57:36+00:00</dcterms:modified>
</cp:coreProperties>
</file>

<file path=docProps/custom.xml><?xml version="1.0" encoding="utf-8"?>
<Properties xmlns="http://schemas.openxmlformats.org/officeDocument/2006/custom-properties" xmlns:vt="http://schemas.openxmlformats.org/officeDocument/2006/docPropsVTypes"/>
</file>