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Departement des Sciences Biomédiadicales</w:t>
      </w:r>
    </w:p>
    <w:p>
      <w:pPr/>
      <w:r>
        <w:rPr/>
        <w:t xml:space="preserve"> </w:t>
      </w:r>
    </w:p>
    <w:p>
      <w:pPr/>
      <w:r>
        <w:rPr/>
        <w:t xml:space="preserve"> </w:t>
      </w:r>
    </w:p>
    <w:p>
      <w:pPr/>
      <w:r>
        <w:rPr/>
        <w:t xml:space="preserve">Si l’on globalise cet ensemble, on peut dire que le champ de recherche du DSB est très large et comprend la recherche fondamentale et translationnelle de laboratoire. Il s’agit d’un regroupement horizontal de tous les laboratoires de recherche qui mènent des projets de recherche en rapport avec les maladies transmissibles comprenant les maladies à transmission vectorielles et les maladies de type bactérien et viral et les maladies non transmissibles. Ces laboratoires ont été créés pour répondre aux besoins prioritaires des populations du Burkina Faso dans le domaine de la recherche et de la biologie médicale. A ce titre, le Département est un organe de coordination de la recherche menée au sein des laboratoires de recherche.</w:t>
      </w:r>
    </w:p>
    <w:p>
      <w:pPr/>
      <w:r>
        <w:rPr/>
        <w:t xml:space="preserve"> </w:t>
      </w:r>
    </w:p>
    <w:p>
      <w:pPr/>
      <w:r>
        <w:rPr/>
        <w:t xml:space="preserve"> </w:t>
      </w:r>
    </w:p>
    <w:p>
      <w:pPr/>
      <w:r>
        <w:rPr/>
        <w:t xml:space="preserve">Liste du personnel chercheur de Departement des Sciences Biomédiadicales</w:t>
      </w:r>
    </w:p>
    <w:p>
      <w:pPr/>
      <w:r>
        <w:rPr/>
        <w:t xml:space="preserve">Departement de Recherche clinique  </w:t>
      </w:r>
    </w:p>
    <w:p>
      <w:pPr/>
      <w:r>
        <w:rPr/>
        <w:t xml:space="preserve"> </w:t>
      </w:r>
    </w:p>
    <w:p>
      <w:pPr/>
      <w:r>
        <w:rPr/>
        <w:t xml:space="preserve"> </w:t>
      </w:r>
    </w:p>
    <w:p>
      <w:pPr/>
      <w:r>
        <w:rPr/>
        <w:t xml:space="preserve">L’objectif du DRC est d’obtenir à court terme, une meilleure gestion de ces ressources humaines et une meilleure organisation au quotidien du travail, pour améliorer sa productivité dans les différents domaines que sont la recherche (Grants et articles scientifiques), la formation et l’expertise. Cela permettra également une meilleure implication du Département dans le suivi de l’ensemble des essais cliniques hébergés au Centre MURAZ, à travers la rédaction et la mise en œuvre d’un plan de monitoring pour chacun de ces essais.</w:t>
      </w:r>
    </w:p>
    <w:p>
      <w:pPr/>
      <w:r>
        <w:rPr/>
        <w:t xml:space="preserve"> </w:t>
      </w:r>
    </w:p>
    <w:p>
      <w:pPr/>
      <w:r>
        <w:rPr/>
        <w:t xml:space="preserve"> </w:t>
      </w:r>
    </w:p>
    <w:p>
      <w:pPr/>
      <w:r>
        <w:rPr/>
        <w:t xml:space="preserve">Liste du personnel chercheur de Departement de Recherche clinique  </w:t>
      </w:r>
    </w:p>
    <w:p>
      <w:pPr/>
      <w:r>
        <w:rPr/>
        <w:t xml:space="preserve">Departement de Santé Publique</w:t>
      </w:r>
    </w:p>
    <w:p>
      <w:pPr/>
      <w:r>
        <w:rPr/>
        <w:t xml:space="preserve"> </w:t>
      </w:r>
    </w:p>
    <w:p>
      <w:pPr/>
      <w:r>
        <w:rPr/>
        <w:t xml:space="preserve"> </w:t>
      </w:r>
    </w:p>
    <w:p>
      <w:pPr/>
      <w:r>
        <w:rPr/>
        <w:t xml:space="preserve">La perspective du Département est de développer et d’opérationnaliser des contrats plans dans les domaines de la santé environnementale, de l’accidentologie, de la santé communautaire, des politiques publiques de santé en matière de financement, d’équité et de prise en charge des groupes spécifiques.</w:t>
      </w:r>
    </w:p>
    <w:p>
      <w:pPr/>
      <w:r>
        <w:rPr/>
        <w:t xml:space="preserve"> </w:t>
      </w:r>
    </w:p>
    <w:p>
      <w:pPr/>
      <w:r>
        <w:rPr/>
        <w:t xml:space="preserve"> </w:t>
      </w:r>
    </w:p>
    <w:p>
      <w:pPr/>
      <w:r>
        <w:rPr/>
        <w:t xml:space="preserve">Liste du personnel chercheur de Departement de Santé Publique</w:t>
      </w:r>
    </w:p>
    <w:p>
      <w:bookmarkStart w:id="1" w:name="_Toc1"/>
      <w:r>
        <w:t>Les publications</w:t>
      </w:r>
      <w:bookmarkEnd w:id="1"/>
    </w:p>
    <w:p>
      <w:pPr/>
      <w:r>
        <w:rPr/>
        <w:t xml:space="preserve"> </w:t>
      </w:r>
    </w:p>
    <w:p>
      <w:pPr/>
      <w:r>
        <w:rPr/>
        <w:t xml:space="preserve"> Admin ,  Admin , Jan 09 2019</w:t>
      </w:r>
    </w:p>
    <w:p>
      <w:bookmarkStart w:id="2" w:name="_Toc2"/>
      <w:r>
        <w:t>Les publications</w:t>
      </w:r>
      <w:bookmarkEnd w:id="2"/>
    </w:p>
    <w:p>
      <w:pPr/>
      <w:r>
        <w:rPr/>
        <w:t xml:space="preserve"> </w:t>
      </w:r>
    </w:p>
    <w:p>
      <w:pPr/>
      <w:r>
        <w:rPr/>
        <w:t xml:space="preserve"> Admin 2019-01-08 00:00:00</w:t>
      </w:r>
    </w:p>
    <w:p>
      <w:bookmarkStart w:id="3" w:name="_Toc3"/>
      <w:r>
        <w:t>Les publications</w:t>
      </w:r>
      <w:bookmarkEnd w:id="3"/>
    </w:p>
    <w:p>
      <w:pPr/>
      <w:r>
        <w:rPr/>
        <w:t xml:space="preserve"> </w:t>
      </w:r>
    </w:p>
    <w:p>
      <w:pPr/>
      <w:r>
        <w:rPr/>
        <w:t xml:space="preserve"> Admin ,  Mattie , May 11 2018</w:t>
      </w:r>
    </w:p>
    <w:p>
      <w:bookmarkStart w:id="4" w:name="_Toc4"/>
      <w:r>
        <w:t>Les publications</w:t>
      </w:r>
      <w:bookmarkEnd w:id="4"/>
    </w:p>
    <w:p>
      <w:pPr/>
      <w:r>
        <w:rPr/>
        <w:t xml:space="preserve"> </w:t>
      </w:r>
    </w:p>
    <w:p>
      <w:pPr/>
      <w:r>
        <w:rPr/>
        <w:t xml:space="preserve"> Admin ,  Abraham , Dec 11 2018</w:t>
      </w:r>
    </w:p>
    <w:p>
      <w:bookmarkStart w:id="5" w:name="_Toc5"/>
      <w:r>
        <w:t>Les publications</w:t>
      </w:r>
      <w:bookmarkEnd w:id="5"/>
    </w:p>
    <w:p>
      <w:pPr/>
      <w:r>
        <w:rPr/>
        <w:t xml:space="preserve"> </w:t>
      </w:r>
    </w:p>
    <w:p>
      <w:pPr/>
      <w:r>
        <w:rPr/>
        <w:t xml:space="preserve"> Admin ,  Eriberto , Jan 02 2019</w:t>
      </w:r>
    </w:p>
    <w:p>
      <w:pPr>
        <w:sectPr>
          <w:headerReference w:type="default" r:id="rId7"/>
          <w:pgSz w:orient="portrait" w:w="11905.511811023622" w:h="16837.79527559055"/>
          <w:pgMar w:top="1440" w:right="1440" w:bottom="1440" w:left="1440" w:header="720" w:footer="720" w:gutter="0"/>
          <w:cols w:num="1" w:space="720"/>
        </w:sectPr>
      </w:pPr>
    </w:p>
    <w:p>
      <w:bookmarkStart w:id="6" w:name="_Toc6"/>
      <w:r>
        <w:t>Projet Soumis </w:t>
      </w:r>
      <w:bookmarkEnd w:id="6"/>
    </w:p>
    <w:tbl>
      <w:tblGrid>
        <w:gridCol w:w="4000" w:type="dxa"/>
        <w:gridCol w:w="4000" w:type="dxa"/>
      </w:tblGrid>
      <w:tblPr>
        <w:tblStyle w:val="Fancy Table"/>
      </w:tblPr>
      <w:tr>
        <w:trPr/>
        <w:tc>
          <w:tcPr>
            <w:tcW w:w="4000" w:type="dxa"/>
            <w:vAlign w:val="center"/>
          </w:tcPr>
          <w:p>
            <w:pPr/>
            <w:r>
              <w:rPr/>
              <w:t xml:space="preserve">Intitulé: Etude sur les enfants de rue face au SIDA</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12 millions d'euros</w:t>
            </w:r>
          </w:p>
        </w:tc>
      </w:tr>
      <w:tr>
        <w:trPr/>
        <w:tc>
          <w:tcPr>
            <w:tcW w:w="4000" w:type="dxa"/>
            <w:vAlign w:val="center"/>
          </w:tcPr>
          <w:p>
            <w:pPr/>
            <w:r>
              <w:rPr/>
              <w:t xml:space="preserve">Durée du projet: 12</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Banfaro</w:t>
            </w:r>
          </w:p>
        </w:tc>
        <w:tc>
          <w:tcPr>
            <w:tcW w:w="4000" w:type="dxa"/>
            <w:vAlign w:val="center"/>
          </w:tcPr>
          <w:p>
            <w:pPr/>
            <w:r>
              <w:rPr/>
              <w:t xml:space="preserve">Code Muraz: Banfaro</w:t>
            </w:r>
          </w:p>
        </w:tc>
      </w:tr>
      <w:tr>
        <w:trPr>
          <w:trHeight w:val="1750" w:hRule="atLeast"/>
        </w:trPr>
        <w:tc>
          <w:tcPr>
            <w:tcW w:w="10000" w:type="dxa"/>
            <w:vAlign w:val="center"/>
          </w:tcPr>
          <w:p>
            <w:pPr/>
            <w:r>
              <w:rPr/>
              <w:t xml:space="preserve">Contexte/ justification: Il s'est deroule dans un contexte d'expansion de mesurer des SDF</w:t>
            </w:r>
          </w:p>
        </w:tc>
      </w:tr>
      <w:tr>
        <w:trPr>
          <w:trHeight w:val="1750" w:hRule="atLeast"/>
        </w:trPr>
        <w:tc>
          <w:tcPr>
            <w:tcW w:w="10000" w:type="dxa"/>
            <w:vAlign w:val="center"/>
          </w:tcPr>
          <w:p>
            <w:pPr/>
            <w:r>
              <w:rPr/>
              <w:t xml:space="preserve">Question de recherche / hypothèse: Comment surpasser ce problème?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Etude transversale et denombrable</w:t>
            </w:r>
          </w:p>
        </w:tc>
      </w:tr>
      <w:tr>
        <w:trPr>
          <w:trHeight w:val="2000" w:hRule="atLeast"/>
        </w:trPr>
        <w:tc>
          <w:tcPr>
            <w:tcW w:w="10000" w:type="dxa"/>
          </w:tcPr>
          <w:p>
            <w:pPr/>
            <w:r>
              <w:rPr/>
              <w:t xml:space="preserve">Activités menées jusqu'en dateQuestion: Etude transversale et denombrable</w:t>
            </w:r>
          </w:p>
        </w:tc>
      </w:tr>
      <w:tr>
        <w:trPr>
          <w:trHeight w:val="2000" w:hRule="atLeast"/>
        </w:trPr>
        <w:tc>
          <w:tcPr>
            <w:tcW w:w="10000" w:type="dxa"/>
          </w:tcPr>
          <w:p>
            <w:pPr/>
            <w:r>
              <w:rPr/>
              <w:t xml:space="preserve">resultats obtenu jusqu'en dateQuestion: Etude transversale et denombrable</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7" w:name="_Toc7"/>
      <w:r>
        <w:t>Projet Soumis </w:t>
      </w:r>
      <w:bookmarkEnd w:id="7"/>
    </w:p>
    <w:tbl>
      <w:tblGrid>
        <w:gridCol w:w="4000" w:type="dxa"/>
        <w:gridCol w:w="4000" w:type="dxa"/>
      </w:tblGrid>
      <w:tblPr>
        <w:tblStyle w:val="Fancy Table"/>
      </w:tblPr>
      <w:tr>
        <w:trPr/>
        <w:tc>
          <w:tcPr>
            <w:tcW w:w="4000" w:type="dxa"/>
            <w:vAlign w:val="center"/>
          </w:tcPr>
          <w:p>
            <w:pPr/>
            <w:r>
              <w:rPr/>
              <w:t xml:space="preserve">Intitulé: Evaluation de l’effet larvicide des extraits de Vernonia cinerea Less (Asteraceae) sur les larves de Anopheles gambiae s.s de l’IRSS/DRO Bobo Dioulasso, Burkina Faso.</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1500 euros</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Dramane , Silas , Rhett , Rhett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Les moustiques sont des vecteurs responsables de la transmission de diverses maladies telles que le paludisme, la filariose, la
fièvre jaune, la dengue et d’autres infections (Pugazhvendan and Elumali, 2013). En 2015 selon l’OMS on a enregistré 212
millions de cas de paludisme dans le monde et 429 000 décès associés (WHO, 2016). Beaucoup d’approches ont été
développées pour contrôler les moustiques, dans lesquels le contrôle des moustiques au stade larvaire est considéré comme
un moyen efficace dans la gestion intégrée des vecteurs (Rutledge et al., 2003). Les méthodes actuelles de lutte contre les
moustiques reposent sur des insecticides synthétiques qui sont la première ligne d’action en raison de leur action rapide.
Malheureusement, la plupart de ces produits chimiques deviennent de plus en plus inefficaces contre les moustiques et ont des
effets néfastes pour l’homme, les animaux et l’environnement du fait de leur accumulation dans le milieu naturel (Namountougou
et al., 2012). Dans un tel contexte de nouveaux outils de recherche sont nécessaires tels que les insecticides biologiques
facilement dégradables. Vernonia cinerea Less appartenant à la famille des Astéracées est une plante annuelle largement
répandue en Inde et dans la partie Ouest du Burkina Faso. Notre étude vise à évaluer l’effet des extraits de Vernonia cinerea
Less sur les larves du stade 3 et 4 de Anopheles gambiae s.s.</w:t>
            </w:r>
          </w:p>
        </w:tc>
      </w:tr>
      <w:tr>
        <w:trPr>
          <w:trHeight w:val="1750" w:hRule="atLeast"/>
        </w:trPr>
        <w:tc>
          <w:tcPr>
            <w:tcW w:w="10000" w:type="dxa"/>
            <w:vAlign w:val="center"/>
          </w:tcPr>
          <w:p>
            <w:pPr/>
            <w:r>
              <w:rPr/>
              <w:t xml:space="preserve">Question de recherche / hypothèse: Wolbachia pourrait conférer une protection contre les champignons pathogènes du
Metarhizium chez Ae. Aegypti.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Activités menées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resultats obtenu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MINISTERE DE LA SANTE</w:t>
    </w:r>
  </w:p>
  <w:p>
    <w:pPr/>
    <w:r>
      <w:rPr/>
      <w:t xml:space="preserve">	  -------------	    </w:t>
    </w:r>
  </w:p>
  <w:p>
    <w:pPr/>
    <w:r>
      <w:rPr/>
      <w:t xml:space="preserve">SECRETARIAT GENERAL</w:t>
    </w:r>
  </w:p>
  <w:p>
    <w:pPr/>
    <w:r>
      <w:rPr/>
      <w:t xml:space="preserve">	  -------------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2019-01-26T20:33:38+00:00</dcterms:created>
  <dcterms:modified xsi:type="dcterms:W3CDTF">2019-01-26T20:33:38+00:00</dcterms:modified>
</cp:coreProperties>
</file>

<file path=docProps/custom.xml><?xml version="1.0" encoding="utf-8"?>
<Properties xmlns="http://schemas.openxmlformats.org/officeDocument/2006/custom-properties" xmlns:vt="http://schemas.openxmlformats.org/officeDocument/2006/docPropsVTypes"/>
</file>