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 </w:t>
      </w:r>
      <w:bookmarkEnd w:id="1"/>
    </w:p>
    <w:p>
      <w:pPr/>
      <w:r>
        <w:rPr/>
        <w:t xml:space="preserve"> </w:t>
      </w:r>
    </w:p>
    <w:p>
      <w:pPr/>
      <w:r>
        <w:rPr/>
        <w:t xml:space="preserve"> </w:t>
      </w:r>
    </w:p>
    <w:tbl>
      <w:tblGrid>
        <w:gridCol w:w="4000" w:type="dxa"/>
        <w:gridCol w:w="4000" w:type="dxa"/>
      </w:tblGrid>
      <w:tblPr>
        <w:tblStyle w:val="Fancy Table"/>
      </w:tblP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Intitulé: Etude de Phase II, randomisée à l'insu des observateurs, contre placebo, des finée à évaluer la sécurité d'emploi, la tolérance et l’immunogénicité de trois schémas primeboost des candidats-vaccisn propylactiques Ad26.ZEBOV et MVA-BN-Filo contre Ebola chez des adultes sains, comprenant des personnes âgées, des sujets infectés par le VIH et des enfants sains dans trois strates d'age en AFrique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Unite de recherche : Biologie Moléculaire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Sponsor:  Aucune institution Sponsor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Budget: 5075000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Durée du projet: 24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Equipe de recherche et partenairiats etablis :  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/>
              <w:t xml:space="preserve">Site de mise en oeuvre au BF: Centre MURAZ et CNRFP</w:t>
            </w:r>
          </w:p>
        </w:tc>
        <w:tc>
          <w:tcPr>
            <w:tcW w:w="4000" w:type="dxa"/>
            <w:vAlign w:val="center"/>
          </w:tcPr>
          <w:p>
            <w:pPr/>
            <w:r>
              <w:rPr/>
              <w:t xml:space="preserve">Code Muraz: EBOVAC2</w:t>
            </w:r>
          </w:p>
        </w:tc>
      </w:tr>
      <w:tr>
        <w:trPr>
          <w:trHeight w:val="1750" w:hRule="atLeast"/>
        </w:trPr>
        <w:tc>
          <w:tcPr>
            <w:tcW w:w="10000" w:type="dxa"/>
            <w:vAlign w:val="center"/>
          </w:tcPr>
          <w:p>
            <w:pPr/>
            <w:r>
              <w:rPr/>
              <w:t xml:space="preserve">Contexte/ justification: Le virus Ebola appartient à la famille des Filoviridae et provoque la maladie à virus Ebola, qui peut induire une
fièvre sévère chez les humains et chez les primates non humains (PNH). Les taux de létalité de la maladie à virus
Ebola ont varié de 25% à 90% (moyenne: 50%), selon l’Organisation Mondiale de la Santé (OMS). Le gouverneur
des Etats-Unis (US) estime que ces virus sont hautement prioritaires et les définit comme des agents de
« catégorie A », en raison du taux élevé de mortalité des personnes infectées.</w:t>
            </w:r>
          </w:p>
        </w:tc>
      </w:tr>
      <w:tr>
        <w:trPr>
          <w:trHeight w:val="1750" w:hRule="atLeast"/>
        </w:trPr>
        <w:tc>
          <w:tcPr>
            <w:tcW w:w="10000" w:type="dxa"/>
            <w:vAlign w:val="center"/>
          </w:tcPr>
          <w:p>
            <w:pPr/>
            <w:r>
              <w:rPr/>
              <w:t xml:space="preserve">Question de recherche / hypothèse: La présente étude a été conçue pour fournir des informations descriptives sur la sécurité d’emploi et
l’immunogénicité sans comparaison formelle entre les traitements, aucune hypothèse statistique n’est prévu</w:t>
            </w:r>
          </w:p>
        </w:tc>
      </w:tr>
      <w:tr>
        <w:trPr>
          <w:trHeight w:val="1750" w:hRule="atLeast"/>
        </w:trPr>
        <w:tc>
          <w:tcPr>
            <w:tcW w:w="8000" w:type="dxa"/>
            <w:vAlign w:val="center"/>
          </w:tcPr>
          <w:p>
            <w:pPr/>
            <w:r>
              <w:rPr/>
              <w:t xml:space="preserve">Objectifs : </w:t>
            </w:r>
          </w:p>
          <w:p>
            <w:pPr>
              <w:ind w:left="240" w:right="0"/>
            </w:pPr>
            <w:r>
              <w:rPr/>
              <w:t xml:space="preserve">-  Principal</w:t>
            </w:r>
          </w:p>
          <w:p>
            <w:pPr/>
            <w:r>
              <w:rPr/>
              <w:t xml:space="preserve">Evaluer la sécurité d’emploi et la tolérance de différents schémas de vaccination par l’Ad26.ZEBOV
et MVA- BN-Filo administrés par voie intramusculaire (IM) dans le cadre de schémas prime-boost hétérologues
les Jours 1 et 29, les Jours 1 et 57, ou les Jours 1 et 85, chez des adultes sains, y compris des personnes
âgées, et les Jours 1 et 29 ainsi que les Jours 1 et 57 chez des participants vivant avec le VIH, et des enfants
sains dans trois strates d’âge.</w:t>
            </w:r>
          </w:p>
          <w:p>
            <w:pPr>
              <w:ind w:left="240" w:right="0"/>
            </w:pPr>
            <w:r>
              <w:rPr/>
              <w:t xml:space="preserve">-  Secondaires</w:t>
            </w:r>
          </w:p>
          <w:p>
            <w:pPr/>
            <w:r>
              <w:rPr/>
              <w:t xml:space="preserve">Evaluer la sécurité d’emploi et la tolérance de différents schémas de vaccination par l’Ad26.ZEBOV
et MVA- BN-Filo administrés par voie intramusculaire (IM) dans le cadre de schémas prime-boost hétérologues
les Jours 1 et 29, les Jours 1 et 57, ou les Jours 1 et 85, chez des adultes sains, y compris des personnes
âgées, et les Jours 1 et 29 ainsi que les Jours 1 et 57 chez des participants vivant avec le VIH, et des enfants
sains dans trois strates d’âge.</w:t>
            </w:r>
          </w:p>
        </w:tc>
      </w:tr>
      <w:tr>
        <w:trPr>
          <w:trHeight w:val="2000" w:hRule="atLeast"/>
        </w:trPr>
        <w:tc>
          <w:tcPr>
            <w:tcW w:w="10000" w:type="dxa"/>
          </w:tcPr>
          <w:p>
            <w:pPr/>
            <w:r>
              <w:rPr/>
              <w:t xml:space="preserve">Résumé des méthodes d\'étude: L’étude durera 18 mois et elle comporte 3 phases :
La sélection : pendant cette phase le médecin de l’étude vérifiera l’éligibilité des participants. Cette phase sera
faite dans les 8 semaines précédant la date à laquelle les participants recevront le vaccin à l’étude.
La phase de vaccination et suivi postérieur au rappel : Les participants recevront 2 vaccinations au cours de
l’étude. La première vaccination aura lieu le Jour 1. La 2ème vaccination, ou vaccination de rappel, le Jour 29, 57
ou 85 chez des adultes sains y compris des personnes âgées, les Jours 29 et 57 chez les enfants sains dans trois
groupes d’âge.
Suivi à long terme : les participants ayant reçu le vaccin actif au cours de cette étude devront se soumettre au
suivi à long terme au Jour 180 et au Jour 360 après la vaccination.
Tous les sujets recevront une vaccination, conformément à la randomisation, le Jour 1 (Groupes 1 à 3) et le Jour
29 (Groupe 1), le Jour 57 (Groupe 2) ou le Jour 85 (Groupe 3) aux doses suivantes :
Ad26.ZEBOV : 5x1010 pv, en flacons à usage unique (0,5 ml extractible)
MVA-BN-Filo : 1x108 U Inf (titre nominal ; le volume de remplissage est de 1,9 x108 U Inf par dose, plage : 1,27-
2,67x108 U Inf, en flacons à usage unique (0,5 ml extractible) ;
Placebo : 0.9 % saline (0.5 mL extractable).</w:t>
            </w:r>
          </w:p>
        </w:tc>
      </w:tr>
      <w:tr>
        <w:trPr>
          <w:trHeight w:val="2000" w:hRule="atLeast"/>
        </w:trPr>
        <w:tc>
          <w:tcPr>
            <w:tcW w:w="10000" w:type="dxa"/>
          </w:tcPr>
          <w:p>
            <w:pPr/>
            <w:r>
              <w:rPr/>
              <w:t xml:space="preserve">Activités menées jusqu'en dateQuestion: </w:t>
            </w:r>
          </w:p>
        </w:tc>
      </w:tr>
      <w:tr>
        <w:trPr>
          <w:trHeight w:val="2000" w:hRule="atLeast"/>
        </w:trPr>
        <w:tc>
          <w:tcPr>
            <w:tcW w:w="10000" w:type="dxa"/>
          </w:tcPr>
          <w:p>
            <w:pPr/>
            <w:r>
              <w:rPr/>
              <w:t xml:space="preserve">Resultats obtenu jusqu'en dateQuestion: </w:t>
            </w:r>
          </w:p>
          <w:p>
            <w:pPr/>
            <w:r>
              <w:rPr/>
              <w:t xml:space="preserve">L’étude durera 18 mois et elle comporte 3 phases :
La sélection : pendant cette phase le médecin de l’étude vérifiera l’éligibilité des participants. Cette phase sera
faite dans les 8 semaines précédant la date à laquelle les participants recevront le vaccin à l’étude.
La phase de vaccination et suivi postérieur au rappel : Les participants recevront 2 vaccinations au cours de
l’étude. La première vaccination aura lieu le Jour 1. La 2ème vaccination, ou vaccination de rappel, le Jour 29, 57
ou 85 chez des adultes sains y compris des personnes âgées, les Jours 29 et 57 chez les enfants sains dans trois
groupes d’âge.
Suivi à long terme : les participants ayant reçu le vaccin actif au cours de cette étude devront se soumettre au
suivi à long terme au Jour 180 et au Jour 360 après la vaccination.
Tous les sujets recevront une vaccination, conformément à la randomisation, le Jour 1 (Groupes 1 à 3) et le Jour
29 (Groupe 1), le Jour 57 (Groupe 2) ou le Jour 85 (Groupe 3) aux doses suivantes :
Ad26.ZEBOV : 5x1010 pv, en flacons à usage unique (0,5 ml extractible)
MVA-BN-Filo : 1x108 U Inf (titre nominal ; le volume de remplissage est de 1,9 x108 U Inf par dose, plage : 1,27-
2,67x108 U Inf, en flacons à usage unique (0,5 ml extractible) ;
Placebo : 0.9 % saline (0.5 mL extractable).</w:t>
            </w:r>
          </w:p>
        </w:tc>
      </w:tr>
      <w:tr>
        <w:trPr>
          <w:trHeight w:val="3000" w:hRule="atLeast"/>
        </w:trPr>
        <w:tc>
          <w:tcPr>
            <w:tcW w:w="10000" w:type="dxa"/>
          </w:tcPr>
          <w:p>
            <w:pPr/>
            <w:r>
              <w:rPr/>
              <w:t xml:space="preserve">Valorisation planifiée ou déja effectuée des resultats préliminaires du projet: </w:t>
            </w:r>
          </w:p>
          <w:p>
            <w:pPr/>
            <w:r>
              <w:rPr/>
              <w:t xml:space="preserve">Articles: 0</w:t>
            </w:r>
          </w:p>
          <w:p>
            <w:pPr/>
            <w:r>
              <w:rPr/>
              <w:t xml:space="preserve">Communications orales: 0</w:t>
            </w:r>
          </w:p>
          <w:p>
            <w:pPr/>
            <w:r>
              <w:rPr/>
              <w:t xml:space="preserve">Posters : 0</w:t>
            </w:r>
          </w:p>
          <w:p>
            <w:pPr/>
            <w:r>
              <w:rPr/>
              <w:t xml:space="preserve">Autres : 0</w:t>
            </w:r>
          </w:p>
        </w:tc>
      </w:tr>
      <w:tr>
        <w:trPr>
          <w:trHeight w:val="3000" w:hRule="atLeast"/>
        </w:trPr>
        <w:tc>
          <w:tcPr>
            <w:tcW w:w="10000" w:type="dxa"/>
          </w:tcPr>
          <w:p>
            <w:pPr/>
            <w:r>
              <w:rPr/>
              <w:t xml:space="preserve">Frais indirects versées au CM: </w:t>
            </w:r>
          </w:p>
          <w:p>
            <w:pPr/>
            <w:r>
              <w:rPr/>
              <w:t xml:space="preserve">Equipemens acquis: 0</w:t>
            </w:r>
          </w:p>
          <w:p>
            <w:pPr/>
            <w:r>
              <w:rPr/>
              <w:t xml:space="preserve">Bourse de formation: 0</w:t>
            </w:r>
          </w:p>
        </w:tc>
      </w:tr>
      <w:tr>
        <w:trPr>
          <w:trHeight w:val="1500" w:hRule="atLeast"/>
        </w:trPr>
        <w:tc>
          <w:tcPr>
            <w:tcW w:w="10000" w:type="dxa"/>
          </w:tcPr>
          <w:p>
            <w:pPr/>
            <w:r>
              <w:rPr/>
              <w:t xml:space="preserve">Perspectives: </w:t>
            </w:r>
          </w:p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2019-01-28T14:33:29+00:00</dcterms:created>
  <dcterms:modified xsi:type="dcterms:W3CDTF">2019-01-28T14:33:29+00:00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