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Aucune qualificationBiologiste , Entomologiste, </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Departement de Recherche clinique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bookmarkStart w:id="6" w:name="_Toc6"/>
      <w:r>
        <w:t>Les publications</w:t>
      </w:r>
      <w:bookmarkEnd w:id="6"/>
    </w:p>
    <w:p>
      <w:pPr/>
      <w:r>
        <w:rPr/>
        <w:t xml:space="preserve"> </w:t>
      </w:r>
    </w:p>
    <w:p>
      <w:pPr/>
      <w:r>
        <w:rPr/>
        <w:t xml:space="preserve"> Admin ,  Joany , Shanie , Kristopher , Nov 13 2017</w:t>
      </w:r>
    </w:p>
    <w:p>
      <w:bookmarkStart w:id="7" w:name="_Toc7"/>
      <w:r>
        <w:t>Les publications</w:t>
      </w:r>
      <w:bookmarkEnd w:id="7"/>
    </w:p>
    <w:p>
      <w:pPr/>
      <w:r>
        <w:rPr/>
        <w:t xml:space="preserve"> </w:t>
      </w:r>
    </w:p>
    <w:p>
      <w:pPr/>
      <w:r>
        <w:rPr/>
        <w:t xml:space="preserve"> Admin ,  Joany , Nov 15 2017</w:t>
      </w:r>
    </w:p>
    <w:p>
      <w:pPr>
        <w:sectPr>
          <w:headerReference w:type="default" r:id="rId7"/>
          <w:pgSz w:orient="portrait" w:w="11905.511811023622" w:h="16837.79527559055"/>
          <w:pgMar w:top="1440" w:right="1440" w:bottom="1440" w:left="1440" w:header="720" w:footer="720" w:gutter="0"/>
          <w:cols w:num="1" w:space="720"/>
        </w:sectPr>
      </w:pPr>
    </w:p>
    <w:p>
      <w:bookmarkStart w:id="8" w:name="_Toc8"/>
      <w:r>
        <w:t>Projet Soumis </w:t>
      </w:r>
      <w:bookmarkEnd w:id="8"/>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w:t>
      </w:r>
      <w:bookmarkEnd w:id="10"/>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resultats obtenu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2019-01-28T14:00:03+00:00</dcterms:created>
  <dcterms:modified xsi:type="dcterms:W3CDTF">2019-01-28T14:00:03+00:00</dcterms:modified>
</cp:coreProperties>
</file>

<file path=docProps/custom.xml><?xml version="1.0" encoding="utf-8"?>
<Properties xmlns="http://schemas.openxmlformats.org/officeDocument/2006/custom-properties" xmlns:vt="http://schemas.openxmlformats.org/officeDocument/2006/docPropsVTypes"/>
</file>