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Departement de Recherche clinique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de Departement de Recherche clinique  </w:t>
      </w:r>
    </w:p>
    <w:p>
      <w:pPr/>
      <w:r>
        <w:rPr/>
        <w:t xml:space="preserve">Departement de Santé Publique</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bookmarkStart w:id="8" w:name="_Toc8"/>
      <w:r>
        <w:t>Les publications</w:t>
      </w:r>
      <w:bookmarkEnd w:id="8"/>
    </w:p>
    <w:p>
      <w:pPr/>
      <w:r>
        <w:rPr/>
        <w:t xml:space="preserve"> </w:t>
      </w:r>
    </w:p>
    <w:p>
      <w:pPr/>
      <w:r>
        <w:rPr/>
        <w:t xml:space="preserve"> Admin ,  Eriberto , Jan 07 2019</w:t>
      </w:r>
    </w:p>
    <w:p>
      <w:pPr>
        <w:sectPr>
          <w:headerReference w:type="default" r:id="rId7"/>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2019-01-28T23:04:39+00:00</dcterms:created>
  <dcterms:modified xsi:type="dcterms:W3CDTF">2019-01-28T23:04:39+00:00</dcterms:modified>
</cp:coreProperties>
</file>

<file path=docProps/custom.xml><?xml version="1.0" encoding="utf-8"?>
<Properties xmlns="http://schemas.openxmlformats.org/officeDocument/2006/custom-properties" xmlns:vt="http://schemas.openxmlformats.org/officeDocument/2006/docPropsVTypes"/>
</file>