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C6F2E"/>
          <w:sz w:val="18"/>
          <w:szCs w:val="18"/>
        </w:rPr>
        <w:t xml:space="preserve">QUONA CAPITAL — EMEA SUMMER ASSOCIATE CASE STUDY, CASE A</w:t>
      </w:r>
    </w:p>
    <w:p>
      <w:pPr>
        <w:spacing w:after="200"/>
      </w:pPr>
      <w:r>
        <w:rPr>
          <w:rFonts w:ascii="Georgia" w:cs="Georgia" w:eastAsia="Georgia" w:hAnsi="Georgia"/>
          <w:b/>
          <w:bCs/>
          <w:color w:val="1B2A38"/>
          <w:sz w:val="38"/>
          <w:szCs w:val="38"/>
        </w:rPr>
        <w:t xml:space="preserve">Sourcing Funnel — Filtration Logic</w:t>
      </w:r>
    </w:p>
    <w:p>
      <w:pPr>
        <w:spacing w:after="140"/>
      </w:pPr>
      <w:r>
        <w:rPr>
          <w:i/>
          <w:iCs/>
          <w:color w:val="5A6472"/>
          <w:sz w:val="19"/>
          <w:szCs w:val="19"/>
        </w:rPr>
        <w:t xml:space="preserve">Build specification for the interactive sourcing tool · Prepared by Jana Aboughaly · August 2026</w:t>
      </w:r>
    </w:p>
    <w:p>
      <w:pPr>
        <w:spacing w:after="130" w:line="300"/>
      </w:pPr>
      <w:r>
        <w:rPr>
          <w:b w:val="false"/>
          <w:bCs w:val="false"/>
          <w:i/>
          <w:iCs/>
          <w:color w:val="1B2A38"/>
          <w:sz w:val="21"/>
          <w:szCs w:val="21"/>
        </w:rPr>
        <w:t xml:space="preserve">This document is the authoritative funnel logic for the Africa Fintech Sourcing System. It is written to be handed directly to a build tool (Claude Code) as an implementation spec. Four items were added or corrected relative to the original draft; each is called out in a highlighted box at the point it applies, so nothing is silently changed.</w:t>
      </w:r>
    </w:p>
    <w:p>
      <w:pPr>
        <w:pStyle w:val="Heading1"/>
        <w:pBdr>
          <w:bottom w:val="single" w:color="9C6F2E" w:sz="8" w:space="4"/>
        </w:pBdr>
        <w:spacing w:after="140" w:before="320"/>
      </w:pPr>
      <w:r>
        <w:rPr>
          <w:rFonts w:ascii="Georgia" w:cs="Georgia" w:eastAsia="Georgia" w:hAnsi="Georgia"/>
          <w:b/>
          <w:bCs/>
          <w:color w:val="1B2A38"/>
          <w:sz w:val="28"/>
          <w:szCs w:val="28"/>
        </w:rPr>
        <w:t xml:space="preserve">0. Intake Window</w:t>
      </w:r>
    </w:p>
    <w:p>
      <w:pPr>
        <w:spacing w:after="130" w:line="300"/>
      </w:pPr>
      <w:r>
        <w:rPr>
          <w:b w:val="false"/>
          <w:bCs w:val="false"/>
          <w:i w:val="false"/>
          <w:iCs w:val="false"/>
          <w:color w:val="1B2A38"/>
          <w:sz w:val="21"/>
          <w:szCs w:val="21"/>
        </w:rPr>
        <w:t xml:space="preserve">August 1, 2023 – August 12, 2026 (today). This is the outer boundary for every company entering the funnel — not a stage in itself, but the frame the whole system operates inside.</w:t>
      </w:r>
    </w:p>
    <w:p>
      <w:pPr>
        <w:pStyle w:val="Heading1"/>
        <w:pBdr>
          <w:bottom w:val="single" w:color="9C6F2E" w:sz="8" w:space="4"/>
        </w:pBdr>
        <w:spacing w:after="140" w:before="320"/>
      </w:pPr>
      <w:r>
        <w:rPr>
          <w:rFonts w:ascii="Georgia" w:cs="Georgia" w:eastAsia="Georgia" w:hAnsi="Georgia"/>
          <w:b/>
          <w:bCs/>
          <w:color w:val="1B2A38"/>
          <w:sz w:val="28"/>
          <w:szCs w:val="28"/>
        </w:rPr>
        <w:t xml:space="preserve">1. Funnel Overview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900"/>
      </w:tblGrid>
      <w:tr>
        <w:trPr>
          <w:tblHeader/>
        </w:trPr>
        <w:tc>
          <w:tcPr>
            <w:tcW w:type="dxa" w:w="900"/>
            <w:shd w:fill="1B2A38" w:color="auto" w:val="clear"/>
            <w:tcMar>
              <w:top w:type="dxa" w:w="90"/>
              <w:left w:type="dxa" w:w="110"/>
              <w:bottom w:type="dxa" w:w="90"/>
              <w:right w:type="dxa" w:w="110"/>
            </w:tcMar>
          </w:tcPr>
          <w:p>
            <w:r>
              <w:rPr>
                <w:b/>
                <w:bCs/>
                <w:color w:val="FFFFFF"/>
                <w:sz w:val="19"/>
                <w:szCs w:val="19"/>
              </w:rPr>
              <w:t xml:space="preserve">Stage</w:t>
            </w:r>
          </w:p>
        </w:tc>
        <w:tc>
          <w:tcPr>
            <w:tcW w:type="dxa" w:w="2400"/>
            <w:shd w:fill="1B2A38" w:color="auto" w:val="clear"/>
            <w:tcMar>
              <w:top w:type="dxa" w:w="90"/>
              <w:left w:type="dxa" w:w="110"/>
              <w:bottom w:type="dxa" w:w="90"/>
              <w:right w:type="dxa" w:w="110"/>
            </w:tcMar>
          </w:tcPr>
          <w:p>
            <w:r>
              <w:rPr>
                <w:b/>
                <w:bCs/>
                <w:color w:val="FFFFFF"/>
                <w:sz w:val="19"/>
                <w:szCs w:val="19"/>
              </w:rPr>
              <w:t xml:space="preserve">Name</w:t>
            </w:r>
          </w:p>
        </w:tc>
        <w:tc>
          <w:tcPr>
            <w:tcW w:type="dxa" w:w="6900"/>
            <w:shd w:fill="1B2A38" w:color="auto" w:val="clear"/>
            <w:tcMar>
              <w:top w:type="dxa" w:w="90"/>
              <w:left w:type="dxa" w:w="110"/>
              <w:bottom w:type="dxa" w:w="90"/>
              <w:right w:type="dxa" w:w="110"/>
            </w:tcMar>
          </w:tcPr>
          <w:p>
            <w:r>
              <w:rPr>
                <w:b/>
                <w:bCs/>
                <w:color w:val="FFFFFF"/>
                <w:sz w:val="19"/>
                <w:szCs w:val="19"/>
              </w:rPr>
              <w:t xml:space="preserve">What It Does</w:t>
            </w:r>
          </w:p>
        </w:tc>
      </w:tr>
      <w:tr>
        <w:trPr>
          <w:cantSplit/>
        </w:trPr>
        <w:tc>
          <w:tcPr>
            <w:tcW w:type="dxa" w:w="900"/>
            <w:tcMar>
              <w:top w:type="dxa" w:w="90"/>
              <w:left w:type="dxa" w:w="110"/>
              <w:bottom w:type="dxa" w:w="90"/>
              <w:right w:type="dxa" w:w="110"/>
            </w:tcMar>
          </w:tcPr>
          <w:p>
            <w:r>
              <w:rPr>
                <w:b/>
                <w:bCs/>
                <w:color w:val="1B2A38"/>
                <w:sz w:val="19"/>
                <w:szCs w:val="19"/>
              </w:rPr>
              <w:t xml:space="preserve">Intake</w:t>
            </w:r>
          </w:p>
        </w:tc>
        <w:tc>
          <w:tcPr>
            <w:tcW w:type="dxa" w:w="2400"/>
            <w:tcMar>
              <w:top w:type="dxa" w:w="90"/>
              <w:left w:type="dxa" w:w="110"/>
              <w:bottom w:type="dxa" w:w="90"/>
              <w:right w:type="dxa" w:w="110"/>
            </w:tcMar>
          </w:tcPr>
          <w:p>
            <w:r>
              <w:rPr>
                <w:b/>
                <w:bCs/>
                <w:color w:val="1B2A38"/>
                <w:sz w:val="19"/>
                <w:szCs w:val="19"/>
              </w:rPr>
              <w:t xml:space="preserve">Window</w:t>
            </w:r>
          </w:p>
        </w:tc>
        <w:tc>
          <w:tcPr>
            <w:tcW w:type="dxa" w:w="6900"/>
            <w:tcMar>
              <w:top w:type="dxa" w:w="90"/>
              <w:left w:type="dxa" w:w="110"/>
              <w:bottom w:type="dxa" w:w="90"/>
              <w:right w:type="dxa" w:w="110"/>
            </w:tcMar>
          </w:tcPr>
          <w:p>
            <w:r>
              <w:rPr>
                <w:b w:val="false"/>
                <w:bCs w:val="false"/>
                <w:color w:val="1B2A38"/>
                <w:sz w:val="19"/>
                <w:szCs w:val="19"/>
              </w:rPr>
              <w:t xml:space="preserve">Aug 1, 2023 – Aug 12, 2026. All African startups entering the sourcing sweep, any sector.</w:t>
            </w:r>
          </w:p>
        </w:tc>
      </w:tr>
      <w:tr>
        <w:trPr>
          <w:cantSplit/>
        </w:trPr>
        <w:tc>
          <w:tcPr>
            <w:tcW w:type="dxa" w:w="900"/>
            <w:shd w:fill="F4F1EA" w:color="auto" w:val="clear"/>
            <w:tcMar>
              <w:top w:type="dxa" w:w="90"/>
              <w:left w:type="dxa" w:w="110"/>
              <w:bottom w:type="dxa" w:w="90"/>
              <w:right w:type="dxa" w:w="110"/>
            </w:tcMar>
          </w:tcPr>
          <w:p>
            <w:r>
              <w:rPr>
                <w:b/>
                <w:bCs/>
                <w:color w:val="1B2A38"/>
                <w:sz w:val="19"/>
                <w:szCs w:val="19"/>
              </w:rPr>
              <w:t xml:space="preserve">1</w:t>
            </w:r>
          </w:p>
        </w:tc>
        <w:tc>
          <w:tcPr>
            <w:tcW w:type="dxa" w:w="2400"/>
            <w:shd w:fill="F4F1EA" w:color="auto" w:val="clear"/>
            <w:tcMar>
              <w:top w:type="dxa" w:w="90"/>
              <w:left w:type="dxa" w:w="110"/>
              <w:bottom w:type="dxa" w:w="90"/>
              <w:right w:type="dxa" w:w="110"/>
            </w:tcMar>
          </w:tcPr>
          <w:p>
            <w:r>
              <w:rPr>
                <w:b/>
                <w:bCs/>
                <w:color w:val="1B2A38"/>
                <w:sz w:val="19"/>
                <w:szCs w:val="19"/>
              </w:rPr>
              <w:t xml:space="preserve">All Raised</w:t>
            </w:r>
          </w:p>
        </w:tc>
        <w:tc>
          <w:tcPr>
            <w:tcW w:type="dxa" w:w="6900"/>
            <w:shd w:fill="F4F1EA" w:color="auto" w:val="clear"/>
            <w:tcMar>
              <w:top w:type="dxa" w:w="90"/>
              <w:left w:type="dxa" w:w="110"/>
              <w:bottom w:type="dxa" w:w="90"/>
              <w:right w:type="dxa" w:w="110"/>
            </w:tcMar>
          </w:tcPr>
          <w:p>
            <w:r>
              <w:rPr>
                <w:b w:val="false"/>
                <w:bCs w:val="false"/>
                <w:color w:val="1B2A38"/>
                <w:sz w:val="19"/>
                <w:szCs w:val="19"/>
              </w:rPr>
              <w:t xml:space="preserve">Every African startup confirmed to have raised capital within the intake window.</w:t>
            </w:r>
          </w:p>
        </w:tc>
      </w:tr>
      <w:tr>
        <w:trPr>
          <w:cantSplit/>
        </w:trPr>
        <w:tc>
          <w:tcPr>
            <w:tcW w:type="dxa" w:w="900"/>
            <w:tcMar>
              <w:top w:type="dxa" w:w="90"/>
              <w:left w:type="dxa" w:w="110"/>
              <w:bottom w:type="dxa" w:w="90"/>
              <w:right w:type="dxa" w:w="110"/>
            </w:tcMar>
          </w:tcPr>
          <w:p>
            <w:r>
              <w:rPr>
                <w:b/>
                <w:bCs/>
                <w:color w:val="1B2A38"/>
                <w:sz w:val="19"/>
                <w:szCs w:val="19"/>
              </w:rPr>
              <w:t xml:space="preserve">2</w:t>
            </w:r>
          </w:p>
        </w:tc>
        <w:tc>
          <w:tcPr>
            <w:tcW w:type="dxa" w:w="2400"/>
            <w:tcMar>
              <w:top w:type="dxa" w:w="90"/>
              <w:left w:type="dxa" w:w="110"/>
              <w:bottom w:type="dxa" w:w="90"/>
              <w:right w:type="dxa" w:w="110"/>
            </w:tcMar>
          </w:tcPr>
          <w:p>
            <w:r>
              <w:rPr>
                <w:b/>
                <w:bCs/>
                <w:color w:val="1B2A38"/>
                <w:sz w:val="19"/>
                <w:szCs w:val="19"/>
              </w:rPr>
              <w:t xml:space="preserve">Fintech Filter</w:t>
            </w:r>
          </w:p>
        </w:tc>
        <w:tc>
          <w:tcPr>
            <w:tcW w:type="dxa" w:w="6900"/>
            <w:tcMar>
              <w:top w:type="dxa" w:w="90"/>
              <w:left w:type="dxa" w:w="110"/>
              <w:bottom w:type="dxa" w:w="90"/>
              <w:right w:type="dxa" w:w="110"/>
            </w:tcMar>
          </w:tcPr>
          <w:p>
            <w:r>
              <w:rPr>
                <w:b w:val="false"/>
                <w:bCs w:val="false"/>
                <w:color w:val="1B2A38"/>
                <w:sz w:val="19"/>
                <w:szCs w:val="19"/>
              </w:rPr>
              <w:t xml:space="preserve">Fintech / fintech-adjacent (payments, lending, embedded finance, trade finance, financial infrastructure). Re-checked on new information — a non-fintech company can move into this stage later if it pivots.</w:t>
            </w:r>
          </w:p>
        </w:tc>
      </w:tr>
      <w:tr>
        <w:trPr>
          <w:cantSplit/>
        </w:trPr>
        <w:tc>
          <w:tcPr>
            <w:tcW w:type="dxa" w:w="900"/>
            <w:shd w:fill="F4F1EA" w:color="auto" w:val="clear"/>
            <w:tcMar>
              <w:top w:type="dxa" w:w="90"/>
              <w:left w:type="dxa" w:w="110"/>
              <w:bottom w:type="dxa" w:w="90"/>
              <w:right w:type="dxa" w:w="110"/>
            </w:tcMar>
          </w:tcPr>
          <w:p>
            <w:r>
              <w:rPr>
                <w:b/>
                <w:bCs/>
                <w:color w:val="1B2A38"/>
                <w:sz w:val="19"/>
                <w:szCs w:val="19"/>
              </w:rPr>
              <w:t xml:space="preserve">3</w:t>
            </w:r>
          </w:p>
        </w:tc>
        <w:tc>
          <w:tcPr>
            <w:tcW w:type="dxa" w:w="2400"/>
            <w:shd w:fill="F4F1EA" w:color="auto" w:val="clear"/>
            <w:tcMar>
              <w:top w:type="dxa" w:w="90"/>
              <w:left w:type="dxa" w:w="110"/>
              <w:bottom w:type="dxa" w:w="90"/>
              <w:right w:type="dxa" w:w="110"/>
            </w:tcMar>
          </w:tcPr>
          <w:p>
            <w:r>
              <w:rPr>
                <w:b/>
                <w:bCs/>
                <w:color w:val="1B2A38"/>
                <w:sz w:val="19"/>
                <w:szCs w:val="19"/>
              </w:rPr>
              <w:t xml:space="preserve">Stage Check</w:t>
            </w:r>
          </w:p>
        </w:tc>
        <w:tc>
          <w:tcPr>
            <w:tcW w:type="dxa" w:w="6900"/>
            <w:shd w:fill="F4F1EA" w:color="auto" w:val="clear"/>
            <w:tcMar>
              <w:top w:type="dxa" w:w="90"/>
              <w:left w:type="dxa" w:w="110"/>
              <w:bottom w:type="dxa" w:w="90"/>
              <w:right w:type="dxa" w:w="110"/>
            </w:tcMar>
          </w:tcPr>
          <w:p>
            <w:r>
              <w:rPr>
                <w:b w:val="false"/>
                <w:bCs w:val="false"/>
                <w:color w:val="1B2A38"/>
                <w:sz w:val="19"/>
                <w:szCs w:val="19"/>
              </w:rPr>
              <w:t xml:space="preserve">No announced Series A. Bridge rounds, extensions, pre-Series A all still qualify.</w:t>
            </w:r>
          </w:p>
        </w:tc>
      </w:tr>
      <w:tr>
        <w:trPr>
          <w:cantSplit/>
        </w:trPr>
        <w:tc>
          <w:tcPr>
            <w:tcW w:type="dxa" w:w="900"/>
            <w:tcMar>
              <w:top w:type="dxa" w:w="90"/>
              <w:left w:type="dxa" w:w="110"/>
              <w:bottom w:type="dxa" w:w="90"/>
              <w:right w:type="dxa" w:w="110"/>
            </w:tcMar>
          </w:tcPr>
          <w:p>
            <w:r>
              <w:rPr>
                <w:b/>
                <w:bCs/>
                <w:color w:val="1B2A38"/>
                <w:sz w:val="19"/>
                <w:szCs w:val="19"/>
              </w:rPr>
              <w:t xml:space="preserve">4</w:t>
            </w:r>
          </w:p>
        </w:tc>
        <w:tc>
          <w:tcPr>
            <w:tcW w:type="dxa" w:w="2400"/>
            <w:tcMar>
              <w:top w:type="dxa" w:w="90"/>
              <w:left w:type="dxa" w:w="110"/>
              <w:bottom w:type="dxa" w:w="90"/>
              <w:right w:type="dxa" w:w="110"/>
            </w:tcMar>
          </w:tcPr>
          <w:p>
            <w:r>
              <w:rPr>
                <w:b/>
                <w:bCs/>
                <w:color w:val="1B2A38"/>
                <w:sz w:val="19"/>
                <w:szCs w:val="19"/>
              </w:rPr>
              <w:t xml:space="preserve">Geography Check</w:t>
            </w:r>
          </w:p>
        </w:tc>
        <w:tc>
          <w:tcPr>
            <w:tcW w:type="dxa" w:w="6900"/>
            <w:tcMar>
              <w:top w:type="dxa" w:w="90"/>
              <w:left w:type="dxa" w:w="110"/>
              <w:bottom w:type="dxa" w:w="90"/>
              <w:right w:type="dxa" w:w="110"/>
            </w:tcMar>
          </w:tcPr>
          <w:p>
            <w:r>
              <w:rPr>
                <w:b w:val="false"/>
                <w:bCs w:val="false"/>
                <w:color w:val="1B2A38"/>
                <w:sz w:val="19"/>
                <w:szCs w:val="19"/>
              </w:rPr>
              <w:t xml:space="preserve">Egypt/South Africa HQ (team-based) or 3+ African markets.</w:t>
            </w:r>
          </w:p>
        </w:tc>
      </w:tr>
      <w:tr>
        <w:trPr>
          <w:cantSplit/>
        </w:trPr>
        <w:tc>
          <w:tcPr>
            <w:tcW w:type="dxa" w:w="900"/>
            <w:shd w:fill="F4F1EA" w:color="auto" w:val="clear"/>
            <w:tcMar>
              <w:top w:type="dxa" w:w="90"/>
              <w:left w:type="dxa" w:w="110"/>
              <w:bottom w:type="dxa" w:w="90"/>
              <w:right w:type="dxa" w:w="110"/>
            </w:tcMar>
          </w:tcPr>
          <w:p>
            <w:r>
              <w:rPr>
                <w:b/>
                <w:bCs/>
                <w:color w:val="1B2A38"/>
                <w:sz w:val="19"/>
                <w:szCs w:val="19"/>
              </w:rPr>
              <w:t xml:space="preserve">5</w:t>
            </w:r>
          </w:p>
        </w:tc>
        <w:tc>
          <w:tcPr>
            <w:tcW w:type="dxa" w:w="2400"/>
            <w:shd w:fill="F4F1EA" w:color="auto" w:val="clear"/>
            <w:tcMar>
              <w:top w:type="dxa" w:w="90"/>
              <w:left w:type="dxa" w:w="110"/>
              <w:bottom w:type="dxa" w:w="90"/>
              <w:right w:type="dxa" w:w="110"/>
            </w:tcMar>
          </w:tcPr>
          <w:p>
            <w:r>
              <w:rPr>
                <w:b/>
                <w:bCs/>
                <w:color w:val="1B2A38"/>
                <w:sz w:val="19"/>
                <w:szCs w:val="19"/>
              </w:rPr>
              <w:t xml:space="preserve">Output Checkpoint</w:t>
            </w:r>
          </w:p>
        </w:tc>
        <w:tc>
          <w:tcPr>
            <w:tcW w:type="dxa" w:w="6900"/>
            <w:shd w:fill="F4F1EA" w:color="auto" w:val="clear"/>
            <w:tcMar>
              <w:top w:type="dxa" w:w="90"/>
              <w:left w:type="dxa" w:w="110"/>
              <w:bottom w:type="dxa" w:w="90"/>
              <w:right w:type="dxa" w:w="110"/>
            </w:tcMar>
          </w:tcPr>
          <w:p>
            <w:r>
              <w:rPr>
                <w:b w:val="false"/>
                <w:bCs w:val="false"/>
                <w:color w:val="1B2A38"/>
                <w:sz w:val="19"/>
                <w:szCs w:val="19"/>
              </w:rPr>
              <w:t xml:space="preserve">Not a filter — a snapshot of the fintech, right-geography, pre-Series-A companies. This is the working candidate list shown before the final syndicate gate.</w:t>
            </w:r>
          </w:p>
        </w:tc>
      </w:tr>
      <w:tr>
        <w:trPr>
          <w:cantSplit/>
        </w:trPr>
        <w:tc>
          <w:tcPr>
            <w:tcW w:type="dxa" w:w="900"/>
            <w:tcMar>
              <w:top w:type="dxa" w:w="90"/>
              <w:left w:type="dxa" w:w="110"/>
              <w:bottom w:type="dxa" w:w="90"/>
              <w:right w:type="dxa" w:w="110"/>
            </w:tcMar>
          </w:tcPr>
          <w:p>
            <w:r>
              <w:rPr>
                <w:b/>
                <w:bCs/>
                <w:color w:val="1B2A38"/>
                <w:sz w:val="19"/>
                <w:szCs w:val="19"/>
              </w:rPr>
              <w:t xml:space="preserve">6</w:t>
            </w:r>
          </w:p>
        </w:tc>
        <w:tc>
          <w:tcPr>
            <w:tcW w:type="dxa" w:w="2400"/>
            <w:tcMar>
              <w:top w:type="dxa" w:w="90"/>
              <w:left w:type="dxa" w:w="110"/>
              <w:bottom w:type="dxa" w:w="90"/>
              <w:right w:type="dxa" w:w="110"/>
            </w:tcMar>
          </w:tcPr>
          <w:p>
            <w:r>
              <w:rPr>
                <w:b/>
                <w:bCs/>
                <w:color w:val="1B2A38"/>
                <w:sz w:val="19"/>
                <w:szCs w:val="19"/>
              </w:rPr>
              <w:t xml:space="preserve">Syndicate Check</w:t>
            </w:r>
          </w:p>
        </w:tc>
        <w:tc>
          <w:tcPr>
            <w:tcW w:type="dxa" w:w="6900"/>
            <w:tcMar>
              <w:top w:type="dxa" w:w="90"/>
              <w:left w:type="dxa" w:w="110"/>
              <w:bottom w:type="dxa" w:w="90"/>
              <w:right w:type="dxa" w:w="110"/>
            </w:tcMar>
          </w:tcPr>
          <w:p>
            <w:r>
              <w:rPr>
                <w:b w:val="false"/>
                <w:bCs w:val="false"/>
                <w:color w:val="1B2A38"/>
                <w:sz w:val="19"/>
                <w:szCs w:val="19"/>
              </w:rPr>
              <w:t xml:space="preserve">Binary pass/fail against the written syndicate-strength definition. This becomes the 20-30 company sourcing database.</w:t>
            </w:r>
          </w:p>
        </w:tc>
      </w:tr>
    </w:tbl>
    <w:p>
      <w:pPr>
        <w:pStyle w:val="Heading1"/>
        <w:pBdr>
          <w:bottom w:val="single" w:color="9C6F2E" w:sz="8" w:space="4"/>
        </w:pBdr>
        <w:spacing w:after="140" w:before="320"/>
      </w:pPr>
      <w:r>
        <w:rPr>
          <w:rFonts w:ascii="Georgia" w:cs="Georgia" w:eastAsia="Georgia" w:hAnsi="Georgia"/>
          <w:b/>
          <w:bCs/>
          <w:color w:val="1B2A38"/>
          <w:sz w:val="28"/>
          <w:szCs w:val="28"/>
        </w:rPr>
        <w:t xml:space="preserve">2. Stage 1 — All Raised</w:t>
      </w:r>
    </w:p>
    <w:p>
      <w:pPr>
        <w:spacing w:after="130" w:line="300"/>
      </w:pPr>
      <w:r>
        <w:rPr>
          <w:b w:val="false"/>
          <w:bCs w:val="false"/>
          <w:i w:val="false"/>
          <w:iCs w:val="false"/>
          <w:color w:val="1B2A38"/>
          <w:sz w:val="21"/>
          <w:szCs w:val="21"/>
        </w:rPr>
        <w:t xml:space="preserve">Every African startup confirmed to have raised a funding round (any sector, any stage) within the intake window. Sourced via VC/accelerator portfolio pages, the named newsletter list, and direct search. Not a claim of total market coverage — only companies that entered this sourcing sweep.</w:t>
      </w:r>
    </w:p>
    <w:p>
      <w:pPr>
        <w:pStyle w:val="Heading1"/>
        <w:pBdr>
          <w:bottom w:val="single" w:color="9C6F2E" w:sz="8" w:space="4"/>
        </w:pBdr>
        <w:spacing w:after="140" w:before="320"/>
      </w:pPr>
      <w:r>
        <w:rPr>
          <w:rFonts w:ascii="Georgia" w:cs="Georgia" w:eastAsia="Georgia" w:hAnsi="Georgia"/>
          <w:b/>
          <w:bCs/>
          <w:color w:val="1B2A38"/>
          <w:sz w:val="28"/>
          <w:szCs w:val="28"/>
        </w:rPr>
        <w:t xml:space="preserve">3. Stage 2 — Fintech Filter</w:t>
      </w:r>
    </w:p>
    <w:p>
      <w:pPr>
        <w:spacing w:after="130" w:line="300"/>
      </w:pPr>
      <w:r>
        <w:rPr>
          <w:b w:val="false"/>
          <w:bCs w:val="false"/>
          <w:i w:val="false"/>
          <w:iCs w:val="false"/>
          <w:color w:val="1B2A38"/>
          <w:sz w:val="21"/>
          <w:szCs w:val="21"/>
        </w:rPr>
        <w:t xml:space="preserve">Sector = fintech or fintech-adjacent: payments, lending, embedded finance, trade finance, financial infrastructure.</w:t>
      </w:r>
    </w:p>
    <w:p>
      <w:pPr>
        <w:pBdr>
          <w:left w:val="single" w:color="9C4A3A" w:sz="16" w:space="6"/>
        </w:pBdr>
        <w:shd w:fill="F7EFE9" w:color="auto" w:val="clear"/>
        <w:spacing w:after="100"/>
        <w:ind w:left="120"/>
      </w:pPr>
      <w:r>
        <w:rPr>
          <w:b/>
          <w:bCs/>
          <w:color w:val="9C4A3A"/>
          <w:sz w:val="19"/>
          <w:szCs w:val="19"/>
        </w:rPr>
        <w:t xml:space="preserve">ADDED / CORRECTED — </w:t>
      </w:r>
      <w:r>
        <w:rPr>
          <w:color w:val="1B2A38"/>
          <w:sz w:val="19"/>
          <w:szCs w:val="19"/>
        </w:rPr>
        <w:t xml:space="preserve">Fintech status is re-checked, not fixed at intake. A company that raised outside fintech but later pivots toward embedded finance (or announces a fintech product line) should move into Stage 2 at that point — editable manually, or updated automatically when a refresh cycle surfaces a pivot announcement. This is what lets the system catch companies before they're obviously fintech.</w:t>
      </w:r>
    </w:p>
    <w:p>
      <w:pPr>
        <w:pStyle w:val="Heading1"/>
        <w:pBdr>
          <w:bottom w:val="single" w:color="9C6F2E" w:sz="8" w:space="4"/>
        </w:pBdr>
        <w:spacing w:after="140" w:before="320"/>
      </w:pPr>
      <w:r>
        <w:rPr>
          <w:rFonts w:ascii="Georgia" w:cs="Georgia" w:eastAsia="Georgia" w:hAnsi="Georgia"/>
          <w:b/>
          <w:bCs/>
          <w:color w:val="1B2A38"/>
          <w:sz w:val="28"/>
          <w:szCs w:val="28"/>
        </w:rPr>
        <w:t xml:space="preserve">4. Stage 3 — Stage Check (Pass/Fail)</w:t>
      </w:r>
    </w:p>
    <w:p>
      <w:pPr>
        <w:pStyle w:val="ListParagraph"/>
        <w:numPr>
          <w:ilvl w:val="0"/>
          <w:numId w:val="2"/>
        </w:numPr>
        <w:spacing w:after="60"/>
      </w:pPr>
      <w:r>
        <w:rPr>
          <w:color w:val="1B2A38"/>
          <w:sz w:val="20"/>
          <w:szCs w:val="20"/>
        </w:rPr>
        <w:t xml:space="preserve">Passes if: no announced Series A. Bridge rounds, seed extensions, and pre-Series A rounds all count as still-Seed.</w:t>
      </w:r>
    </w:p>
    <w:p>
      <w:pPr>
        <w:pStyle w:val="ListParagraph"/>
        <w:numPr>
          <w:ilvl w:val="0"/>
          <w:numId w:val="2"/>
        </w:numPr>
        <w:spacing w:after="60"/>
      </w:pPr>
      <w:r>
        <w:rPr>
          <w:color w:val="1B2A38"/>
          <w:sz w:val="20"/>
          <w:szCs w:val="20"/>
        </w:rPr>
        <w:t xml:space="preserve">Debt components in a blended round are ignored for stage classification — only the equity round label matters.</w:t>
      </w:r>
    </w:p>
    <w:p>
      <w:pPr>
        <w:pStyle w:val="ListParagraph"/>
        <w:numPr>
          <w:ilvl w:val="0"/>
          <w:numId w:val="2"/>
        </w:numPr>
        <w:spacing w:after="60"/>
      </w:pPr>
      <w:r>
        <w:rPr>
          <w:color w:val="1B2A38"/>
          <w:sz w:val="20"/>
          <w:szCs w:val="20"/>
        </w:rPr>
        <w:t xml:space="preserve">Manual override field, editable by the user: "Reclassify as Series A (private knowledge)" — off by default; judgment stays visible with a required note when used.</w:t>
      </w:r>
    </w:p>
    <w:p>
      <w:pPr>
        <w:spacing w:after="130" w:line="300"/>
      </w:pPr>
      <w:r>
        <w:rPr>
          <w:b w:val="false"/>
          <w:bCs w:val="false"/>
          <w:i/>
          <w:iCs/>
          <w:color w:val="1B2A38"/>
          <w:sz w:val="21"/>
          <w:szCs w:val="21"/>
        </w:rPr>
        <w:t xml:space="preserve">Stage 3 view: every company that passed this check — the widest post-sector view in the funnel.</w:t>
      </w:r>
    </w:p>
    <w:p>
      <w:pPr>
        <w:pBdr>
          <w:left w:val="single" w:color="9C4A3A" w:sz="16" w:space="6"/>
        </w:pBdr>
        <w:shd w:fill="F7EFE9" w:color="auto" w:val="clear"/>
        <w:spacing w:after="100"/>
        <w:ind w:left="120"/>
      </w:pPr>
      <w:r>
        <w:rPr>
          <w:b/>
          <w:bCs/>
          <w:color w:val="9C4A3A"/>
          <w:sz w:val="19"/>
          <w:szCs w:val="19"/>
        </w:rPr>
        <w:t xml:space="preserve">ADDED / CORRECTED — </w:t>
      </w:r>
      <w:r>
        <w:rPr>
          <w:color w:val="1B2A38"/>
          <w:sz w:val="19"/>
          <w:szCs w:val="19"/>
        </w:rPr>
        <w:t xml:space="preserve">A company excluded only for a public shutdown announcement is hard-excluded at this stage regardless of round status. "Gone quiet 12+ months" is NOT a hard exclusion — it stays as an editable status flag, since that signal is often known before it's publicly confirmed.</w:t>
      </w:r>
    </w:p>
    <w:p>
      <w:pPr>
        <w:pStyle w:val="Heading1"/>
        <w:pBdr>
          <w:bottom w:val="single" w:color="9C6F2E" w:sz="8" w:space="4"/>
        </w:pBdr>
        <w:spacing w:after="140" w:before="320"/>
      </w:pPr>
      <w:r>
        <w:rPr>
          <w:rFonts w:ascii="Georgia" w:cs="Georgia" w:eastAsia="Georgia" w:hAnsi="Georgia"/>
          <w:b/>
          <w:bCs/>
          <w:color w:val="1B2A38"/>
          <w:sz w:val="28"/>
          <w:szCs w:val="28"/>
        </w:rPr>
        <w:t xml:space="preserve">5. Stage 4 — Geography Check (Pass/Fail)</w:t>
      </w:r>
    </w:p>
    <w:p>
      <w:pPr>
        <w:pStyle w:val="ListParagraph"/>
        <w:numPr>
          <w:ilvl w:val="0"/>
          <w:numId w:val="2"/>
        </w:numPr>
        <w:spacing w:after="60"/>
      </w:pPr>
      <w:r>
        <w:rPr>
          <w:color w:val="1B2A38"/>
          <w:sz w:val="20"/>
          <w:szCs w:val="20"/>
        </w:rPr>
        <w:t xml:space="preserve">Passes if: HQ (or majority operating team/base) in Egypt or South Africa, OR manually-confirmed 3+ African markets.</w:t>
      </w:r>
    </w:p>
    <w:p>
      <w:pPr>
        <w:pStyle w:val="ListParagraph"/>
        <w:numPr>
          <w:ilvl w:val="0"/>
          <w:numId w:val="2"/>
        </w:numPr>
        <w:spacing w:after="60"/>
      </w:pPr>
      <w:r>
        <w:rPr>
          <w:color w:val="1B2A38"/>
          <w:sz w:val="20"/>
          <w:szCs w:val="20"/>
        </w:rPr>
        <w:t xml:space="preserve">Team-location test wins over legal/incorporation location — MoneyHash-style (US-incorporated CEO, 80% team in Egypt, GCC customers) counts as Egypt.</w:t>
      </w:r>
    </w:p>
    <w:p>
      <w:pPr>
        <w:pStyle w:val="ListParagraph"/>
        <w:numPr>
          <w:ilvl w:val="0"/>
          <w:numId w:val="2"/>
        </w:numPr>
        <w:spacing w:after="60"/>
      </w:pPr>
      <w:r>
        <w:rPr>
          <w:color w:val="1B2A38"/>
          <w:sz w:val="20"/>
          <w:szCs w:val="20"/>
        </w:rPr>
        <w:t xml:space="preserve">Manual override + note field for the 3+ markets path, since this is often true but unannounced.</w:t>
      </w:r>
    </w:p>
    <w:p>
      <w:pPr>
        <w:spacing w:after="130" w:line="300"/>
      </w:pPr>
      <w:r>
        <w:rPr>
          <w:b w:val="false"/>
          <w:bCs w:val="false"/>
          <w:i/>
          <w:iCs/>
          <w:color w:val="1B2A38"/>
          <w:sz w:val="21"/>
          <w:szCs w:val="21"/>
        </w:rPr>
        <w:t xml:space="preserve">Stage 4 view: the Stage 3 group, further narrowed by the geography check — visibly smaller.</w:t>
      </w:r>
    </w:p>
    <w:p>
      <w:pPr>
        <w:pBdr>
          <w:left w:val="single" w:color="9C4A3A" w:sz="16" w:space="6"/>
        </w:pBdr>
        <w:shd w:fill="F7EFE9" w:color="auto" w:val="clear"/>
        <w:spacing w:after="100"/>
        <w:ind w:left="120"/>
      </w:pPr>
      <w:r>
        <w:rPr>
          <w:b/>
          <w:bCs/>
          <w:color w:val="9C4A3A"/>
          <w:sz w:val="19"/>
          <w:szCs w:val="19"/>
        </w:rPr>
        <w:t xml:space="preserve">ADDED / CORRECTED — </w:t>
      </w:r>
      <w:r>
        <w:rPr>
          <w:color w:val="1B2A38"/>
          <w:sz w:val="19"/>
          <w:szCs w:val="19"/>
        </w:rPr>
        <w:t xml:space="preserve">Original draft referenced "the Stage 1 group" here — corrected to Stage 3, since Stage 4 narrows what already passed Stage 3, not the raw intake.</w:t>
      </w:r>
    </w:p>
    <w:p>
      <w:pPr>
        <w:pStyle w:val="Heading1"/>
        <w:pBdr>
          <w:bottom w:val="single" w:color="9C6F2E" w:sz="8" w:space="4"/>
        </w:pBdr>
        <w:spacing w:after="140" w:before="320"/>
      </w:pPr>
      <w:r>
        <w:rPr>
          <w:rFonts w:ascii="Georgia" w:cs="Georgia" w:eastAsia="Georgia" w:hAnsi="Georgia"/>
          <w:b/>
          <w:bCs/>
          <w:color w:val="1B2A38"/>
          <w:sz w:val="28"/>
          <w:szCs w:val="28"/>
        </w:rPr>
        <w:t xml:space="preserve">6. Stage 5 — Output Checkpoint</w:t>
      </w:r>
    </w:p>
    <w:p>
      <w:pPr>
        <w:spacing w:after="130" w:line="300"/>
      </w:pPr>
      <w:r>
        <w:rPr>
          <w:b w:val="false"/>
          <w:bCs w:val="false"/>
          <w:i w:val="false"/>
          <w:iCs w:val="false"/>
          <w:color w:val="1B2A38"/>
          <w:sz w:val="21"/>
          <w:szCs w:val="21"/>
        </w:rPr>
        <w:t xml:space="preserve">Not a filter step — a deliverable snapshot. At this point the list contains companies that are fintech, in the right geography, and have not yet raised a Series A. This is the working candidate list surfaced to the user before the final syndicate gate, and should render as its own explicit view in the tool (not merged silently into Stage 6).</w:t>
      </w:r>
    </w:p>
    <w:p>
      <w:pPr>
        <w:pStyle w:val="Heading1"/>
        <w:pBdr>
          <w:bottom w:val="single" w:color="9C6F2E" w:sz="8" w:space="4"/>
        </w:pBdr>
        <w:spacing w:after="140" w:before="320"/>
      </w:pPr>
      <w:r>
        <w:rPr>
          <w:rFonts w:ascii="Georgia" w:cs="Georgia" w:eastAsia="Georgia" w:hAnsi="Georgia"/>
          <w:b/>
          <w:bCs/>
          <w:color w:val="1B2A38"/>
          <w:sz w:val="28"/>
          <w:szCs w:val="28"/>
        </w:rPr>
        <w:t xml:space="preserve">7. Stage 6 — Strong Syndicate Check (Binary Pass/Fail)</w:t>
      </w:r>
    </w:p>
    <w:p>
      <w:pPr>
        <w:pStyle w:val="ListParagraph"/>
        <w:numPr>
          <w:ilvl w:val="0"/>
          <w:numId w:val="2"/>
        </w:numPr>
        <w:spacing w:after="60"/>
      </w:pPr>
      <w:r>
        <w:rPr>
          <w:color w:val="1B2A38"/>
          <w:sz w:val="20"/>
          <w:szCs w:val="20"/>
        </w:rPr>
        <w:t xml:space="preserve">Passes if: at least one named investor meets the written syndicate-strength definition (dedicated Africa/fintech thesis, demonstrated Series A follow-through, local presence, co-investment reputation — the qualitative rubric, not the 0-100 scorecard).</w:t>
      </w:r>
    </w:p>
    <w:p>
      <w:pPr>
        <w:pStyle w:val="ListParagraph"/>
        <w:numPr>
          <w:ilvl w:val="0"/>
          <w:numId w:val="2"/>
        </w:numPr>
        <w:spacing w:after="60"/>
      </w:pPr>
      <w:r>
        <w:rPr>
          <w:color w:val="1B2A38"/>
          <w:sz w:val="20"/>
          <w:szCs w:val="20"/>
        </w:rPr>
        <w:t xml:space="preserve">The full weighted 0-100 scoring engine is reserved for Deliverable #2 (narrowing 20-30 down to 2-3 highest-conviction picks) and only applies to companies that already passed this binary gate.</w:t>
      </w:r>
    </w:p>
    <w:p>
      <w:pPr>
        <w:spacing w:after="130" w:line="300"/>
      </w:pPr>
      <w:r>
        <w:rPr>
          <w:b w:val="false"/>
          <w:bCs w:val="false"/>
          <w:i/>
          <w:iCs/>
          <w:color w:val="1B2A38"/>
          <w:sz w:val="21"/>
          <w:szCs w:val="21"/>
        </w:rPr>
        <w:t xml:space="preserve">Stage 6 view: the Stage 4 group, further narrowed by the binary syndicate check — the narrowest view, and this becomes the actual sourcing database.</w:t>
      </w:r>
    </w:p>
    <w:p>
      <w:pPr>
        <w:pBdr>
          <w:left w:val="single" w:color="9C4A3A" w:sz="16" w:space="6"/>
        </w:pBdr>
        <w:shd w:fill="F7EFE9" w:color="auto" w:val="clear"/>
        <w:spacing w:after="100"/>
        <w:ind w:left="120"/>
      </w:pPr>
      <w:r>
        <w:rPr>
          <w:b/>
          <w:bCs/>
          <w:color w:val="9C4A3A"/>
          <w:sz w:val="19"/>
          <w:szCs w:val="19"/>
        </w:rPr>
        <w:t xml:space="preserve">ADDED / CORRECTED — </w:t>
      </w:r>
      <w:r>
        <w:rPr>
          <w:color w:val="1B2A38"/>
          <w:sz w:val="19"/>
          <w:szCs w:val="19"/>
        </w:rPr>
        <w:t xml:space="preserve">Target size for this final database is 20-30 companies in this draft, increased from the case brief's stated minimum of 15 — worth stating explicitly in the memo as a deliberate choice, not an oversight.</w:t>
      </w:r>
    </w:p>
    <w:p>
      <w:pPr>
        <w:pStyle w:val="Heading1"/>
        <w:pBdr>
          <w:bottom w:val="single" w:color="9C6F2E" w:sz="8" w:space="4"/>
        </w:pBdr>
        <w:spacing w:after="140" w:before="320"/>
      </w:pPr>
      <w:r>
        <w:rPr>
          <w:rFonts w:ascii="Georgia" w:cs="Georgia" w:eastAsia="Georgia" w:hAnsi="Georgia"/>
          <w:b/>
          <w:bCs/>
          <w:color w:val="1B2A38"/>
          <w:sz w:val="28"/>
          <w:szCs w:val="28"/>
        </w:rPr>
        <w:t xml:space="preserve">8. Cross-Cutting Rule: Visible Judgment, Not Hidden Assumption</w:t>
      </w:r>
    </w:p>
    <w:p>
      <w:pPr>
        <w:spacing w:after="130" w:line="300"/>
      </w:pPr>
      <w:r>
        <w:rPr>
          <w:b w:val="false"/>
          <w:bCs w:val="false"/>
          <w:i w:val="false"/>
          <w:iCs w:val="false"/>
          <w:color w:val="1B2A38"/>
          <w:sz w:val="21"/>
          <w:szCs w:val="21"/>
        </w:rPr>
        <w:t xml:space="preserve">Every override in every stage above — Series A reclassification, geography override, fintech pivot flag, syndicate pass/fail judgment — follows the same pattern: off/undecided by default, a required note when toggled, and always visible in the company record rather than folded silently into a score or a hidden field. This directly answers the case brief's instruction that "some ambiguity is intentional... make interpretation explicit rather than hiding it inside a polished output."</w:t>
      </w:r>
    </w:p>
    <w:p>
      <w:pPr>
        <w:pBdr>
          <w:left w:val="single" w:color="9C4A3A" w:sz="16" w:space="6"/>
        </w:pBdr>
        <w:shd w:fill="F7EFE9" w:color="auto" w:val="clear"/>
        <w:spacing w:after="100"/>
        <w:ind w:left="120"/>
      </w:pPr>
      <w:r>
        <w:rPr>
          <w:b/>
          <w:bCs/>
          <w:color w:val="9C4A3A"/>
          <w:sz w:val="19"/>
          <w:szCs w:val="19"/>
        </w:rPr>
        <w:t xml:space="preserve">ADDED / CORRECTED — </w:t>
      </w:r>
      <w:r>
        <w:rPr>
          <w:color w:val="1B2A38"/>
          <w:sz w:val="19"/>
          <w:szCs w:val="19"/>
        </w:rPr>
        <w:t xml:space="preserve">Stated here as one governing principle rather than repeated per stage, since it applies identically to all six stages and should be implemented once, consistently, rather than as six separate ad hoc toggles.</w:t>
      </w:r>
    </w:p>
    <w:p>
      <w:pPr>
        <w:pStyle w:val="Heading1"/>
        <w:pBdr>
          <w:bottom w:val="single" w:color="9C6F2E" w:sz="8" w:space="4"/>
        </w:pBdr>
        <w:spacing w:after="140" w:before="320"/>
      </w:pPr>
      <w:r>
        <w:rPr>
          <w:rFonts w:ascii="Georgia" w:cs="Georgia" w:eastAsia="Georgia" w:hAnsi="Georgia"/>
          <w:b/>
          <w:bCs/>
          <w:color w:val="1B2A38"/>
          <w:sz w:val="28"/>
          <w:szCs w:val="28"/>
        </w:rPr>
        <w:t xml:space="preserve">9. Build Notes for Claude Code</w:t>
      </w:r>
    </w:p>
    <w:p>
      <w:pPr>
        <w:pStyle w:val="ListParagraph"/>
        <w:numPr>
          <w:ilvl w:val="0"/>
          <w:numId w:val="2"/>
        </w:numPr>
        <w:spacing w:after="60"/>
      </w:pPr>
      <w:r>
        <w:rPr>
          <w:color w:val="1B2A38"/>
          <w:sz w:val="20"/>
          <w:szCs w:val="20"/>
        </w:rPr>
        <w:t xml:space="preserve">Companies are never deleted when they fail a stage — they persist in the data model with a visible cut-reason, greyed out in the UI at any stage view past their cut point.</w:t>
      </w:r>
    </w:p>
    <w:p>
      <w:pPr>
        <w:pStyle w:val="ListParagraph"/>
        <w:numPr>
          <w:ilvl w:val="0"/>
          <w:numId w:val="2"/>
        </w:numPr>
        <w:spacing w:after="60"/>
      </w:pPr>
      <w:r>
        <w:rPr>
          <w:color w:val="1B2A38"/>
          <w:sz w:val="20"/>
          <w:szCs w:val="20"/>
        </w:rPr>
        <w:t xml:space="preserve">Each stage transition should be independently viewable — the user can click Stage 1 through Stage 6 and see the count and membership at that exact width, not just the final output.</w:t>
      </w:r>
    </w:p>
    <w:p>
      <w:pPr>
        <w:pStyle w:val="ListParagraph"/>
        <w:numPr>
          <w:ilvl w:val="0"/>
          <w:numId w:val="2"/>
        </w:numPr>
        <w:spacing w:after="60"/>
      </w:pPr>
      <w:r>
        <w:rPr>
          <w:color w:val="1B2A38"/>
          <w:sz w:val="20"/>
          <w:szCs w:val="20"/>
        </w:rPr>
        <w:t xml:space="preserve">Source citation and source-confidence fields travel with each company record regardless of stage — undisclosed-amount / single-source companies are not excluded, but should score low enough on Stage 6 to self-select out of the final list.</w:t>
      </w:r>
    </w:p>
    <w:p>
      <w:pPr>
        <w:pStyle w:val="ListParagraph"/>
        <w:numPr>
          <w:ilvl w:val="0"/>
          <w:numId w:val="2"/>
        </w:numPr>
        <w:spacing w:after="60"/>
      </w:pPr>
      <w:r>
        <w:rPr>
          <w:color w:val="1B2A38"/>
          <w:sz w:val="20"/>
          <w:szCs w:val="20"/>
        </w:rPr>
        <w:t xml:space="preserve">Stage 5's checkpoint should be exportable/shareable as its own artifact distinct from the final Stage 6 watchlist, since the case brief's Deliverable #1 and Deliverable #2 build on different points in this funnel.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2026-08-12T17:08:29.299Z</dcterms:created>
  <dcterms:modified xsi:type="dcterms:W3CDTF">2026-08-12T17:08:29.323Z</dcterms:modified>
</cp:coreProperties>
</file>

<file path=docProps/custom.xml><?xml version="1.0" encoding="utf-8"?>
<Properties xmlns="http://schemas.openxmlformats.org/officeDocument/2006/custom-properties" xmlns:vt="http://schemas.openxmlformats.org/officeDocument/2006/docPropsVTypes"/>
</file>