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6F2E"/>
          <w:sz w:val="18"/>
          <w:szCs w:val="18"/>
        </w:rPr>
        <w:t xml:space="preserve">QUONA CAPITAL — EMEA SUMMER ASSOCIATE CASE STUDY, CASE A</w:t>
      </w:r>
    </w:p>
    <w:p>
      <w:pPr>
        <w:spacing w:after="300"/>
      </w:pPr>
      <w:r>
        <w:rPr>
          <w:rFonts w:ascii="Georgia" w:cs="Georgia" w:eastAsia="Georgia" w:hAnsi="Georgia"/>
          <w:b/>
          <w:bCs/>
          <w:color w:val="1B2A38"/>
          <w:sz w:val="40"/>
          <w:szCs w:val="40"/>
        </w:rPr>
        <w:t xml:space="preserve">Syndicate-Strength Scoring Mechanism</w:t>
      </w:r>
    </w:p>
    <w:p>
      <w:pPr>
        <w:spacing w:after="160"/>
      </w:pPr>
      <w:r>
        <w:rPr>
          <w:i/>
          <w:iCs/>
          <w:color w:val="5A6472"/>
          <w:sz w:val="19"/>
          <w:szCs w:val="19"/>
        </w:rPr>
        <w:t xml:space="preserve">Prepared by Jana Aboughaly · Africa Fintech Sourcing System · August 2026</w:t>
      </w:r>
    </w:p>
    <w:p>
      <w:pPr>
        <w:pStyle w:val="Heading1"/>
        <w:pBdr>
          <w:bottom w:val="single" w:color="9C6F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2A38"/>
          <w:sz w:val="30"/>
          <w:szCs w:val="30"/>
        </w:rPr>
        <w:t xml:space="preserve">1. Syndicate-Strength Definition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B2A38"/>
          <w:sz w:val="21"/>
          <w:szCs w:val="21"/>
        </w:rPr>
        <w:t xml:space="preserve">A strong syndicate is evaluated per deal, not as a fixed label on a fund. The same fund can score high for one company and low for another, depending on country fit and sector fit. A fund is a strong anchor for a given company if it combines: local presence in that company's operating country (or pan-African reach that covers it); a fintech-specific portfolio deep enough to carry real market insight; demonstrated ability to lead or follow into Series A, proxied by fund vintage and fund size; and a track record of co-investing alongside other reputable funds. Global network, operational support, regulatory relationships, and historical outcomes matter, but are weighted lower. Founder-reputation input is private-network knowledge, entered manually, and excluded from the automated 0-100 score.</w:t>
      </w:r>
    </w:p>
    <w:p>
      <w:pPr>
        <w:pStyle w:val="Heading1"/>
        <w:pBdr>
          <w:bottom w:val="single" w:color="9C6F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2A38"/>
          <w:sz w:val="30"/>
          <w:szCs w:val="30"/>
        </w:rPr>
        <w:t xml:space="preserve">2. Scoring Dimensions and Weights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B2A38"/>
          <w:sz w:val="21"/>
          <w:szCs w:val="21"/>
        </w:rPr>
        <w:t xml:space="preserve">Ten dimensions were originally considered; nine are scored automatically and split into two weight tiers, plus one manual, unweighted input. High-tier dimensions carry more than double the weight of Medium-tier dimensions, reflecting their direct bearing on Series A fundability.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4400"/>
      </w:tblGrid>
      <w:tr>
        <w:trPr>
          <w:tblHeader/>
        </w:trPr>
        <w:tc>
          <w:tcPr>
            <w:tcW w:type="dxa" w:w="1400"/>
            <w:shd w:fill="1B2A3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200"/>
            <w:shd w:fill="1B2A3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200"/>
            <w:shd w:fill="1B2A3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400"/>
            <w:shd w:fill="1B2A3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Local Country Presence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16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Deal-relative. Does the fund have team/office presence in the company's HQ country? Pan-African reach scores partial credit.</w:t>
            </w:r>
          </w:p>
        </w:tc>
      </w:tr>
      <w:tr>
        <w:trPr>
          <w:cantSplit/>
        </w:trPr>
        <w:tc>
          <w:tcPr>
            <w:tcW w:type="dxa" w:w="14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Series A Follow-on Capacity</w:t>
            </w:r>
          </w:p>
        </w:tc>
        <w:tc>
          <w:tcPr>
            <w:tcW w:type="dxa" w:w="12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16</w:t>
            </w:r>
          </w:p>
        </w:tc>
        <w:tc>
          <w:tcPr>
            <w:tcW w:type="dxa" w:w="44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Proxy: fund vintage + fund size. Deployment period runs 5-6 years; follow-on reserves remain plausible through year 6-7 of a fund's life.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Fintech Portfolio Depth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16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Breadth and recency of the fund's fintech portfolio — a proxy for real market insight, not just capital.</w:t>
            </w:r>
          </w:p>
        </w:tc>
      </w:tr>
      <w:tr>
        <w:trPr>
          <w:cantSplit/>
        </w:trPr>
        <w:tc>
          <w:tcPr>
            <w:tcW w:type="dxa" w:w="14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Co-Investment Reputation</w:t>
            </w:r>
          </w:p>
        </w:tc>
        <w:tc>
          <w:tcPr>
            <w:tcW w:type="dxa" w:w="12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16</w:t>
            </w:r>
          </w:p>
        </w:tc>
        <w:tc>
          <w:tcPr>
            <w:tcW w:type="dxa" w:w="44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Position in the co-investor network — how often the fund appears alongside other reputable funds in real deals.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African Market Expertise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7.2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Breadth of African portfolio and team presence across the continent (distinct from single-country local presence).</w:t>
            </w:r>
          </w:p>
        </w:tc>
      </w:tr>
      <w:tr>
        <w:trPr>
          <w:cantSplit/>
        </w:trPr>
        <w:tc>
          <w:tcPr>
            <w:tcW w:type="dxa" w:w="14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Global / Cross-Border Network</w:t>
            </w:r>
          </w:p>
        </w:tc>
        <w:tc>
          <w:tcPr>
            <w:tcW w:type="dxa" w:w="12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7.2</w:t>
            </w:r>
          </w:p>
        </w:tc>
        <w:tc>
          <w:tcPr>
            <w:tcW w:type="dxa" w:w="44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Non-Africa portfolio and network reach — matters most for companies with cross-border ambitions.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Operational Support Bench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7.2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Publicly stated platform or operations team: hiring, GTM, and founder support beyond capital.</w:t>
            </w:r>
          </w:p>
        </w:tc>
      </w:tr>
      <w:tr>
        <w:trPr>
          <w:cantSplit/>
        </w:trPr>
        <w:tc>
          <w:tcPr>
            <w:tcW w:type="dxa" w:w="14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Regulatory / Gov Relationships</w:t>
            </w:r>
          </w:p>
        </w:tc>
        <w:tc>
          <w:tcPr>
            <w:tcW w:type="dxa" w:w="12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7.2</w:t>
            </w:r>
          </w:p>
        </w:tc>
        <w:tc>
          <w:tcPr>
            <w:tcW w:type="dxa" w:w="44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Bank or DFI limited partners, or publicly documented regulator/government engagement.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Historical Investment Outcomes</w:t>
            </w:r>
          </w:p>
        </w:tc>
        <w:tc>
          <w:tcPr>
            <w:tcW w:type="dxa" w:w="1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7.2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Documented exits or successful follow-on rounds across the fund's existing portfolio.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i/>
          <w:iCs/>
          <w:color w:val="5A6472"/>
          <w:sz w:val="19"/>
          <w:szCs w:val="19"/>
        </w:rPr>
        <w:t xml:space="preserve">Weight check: 4 High dimensions × 16 = 64. 5 Medium dimensions × 7.2 = 36. Total = 100.</w:t>
      </w:r>
    </w:p>
    <w:p>
      <w:pPr>
        <w:pStyle w:val="Heading1"/>
        <w:pBdr>
          <w:bottom w:val="single" w:color="9C6F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2A38"/>
          <w:sz w:val="30"/>
          <w:szCs w:val="30"/>
        </w:rPr>
        <w:t xml:space="preserve">3. Score Computation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B2A38"/>
          <w:sz w:val="21"/>
          <w:szCs w:val="21"/>
        </w:rPr>
        <w:t xml:space="preserve">Each dimension is rated 1-5 where evidence exists. A rating is converted to a 0-1 scale as (rating − 1) ÷ 4, multiplied by its weight, and summed. The result is divided by the total weight of only the dimensions that were actually scored — not all nine — so a fund with thin public data is never penalized by a fabricated low score on an unresearched dimension.</w:t>
      </w:r>
    </w:p>
    <w:p>
      <w:pPr>
        <w:spacing w:after="140" w:line="300"/>
      </w:pPr>
      <w:r>
        <w:rPr>
          <w:b w:val="false"/>
          <w:bCs w:val="false"/>
          <w:i/>
          <w:iCs/>
          <w:color w:val="1B2A38"/>
          <w:sz w:val="21"/>
          <w:szCs w:val="21"/>
        </w:rPr>
        <w:t xml:space="preserve">Fund-Company Score = [ Σ (normalized score × weight) across scored dimensions ] ÷ [ Σ weight of scored dimensions ] × 100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B2A38"/>
          <w:sz w:val="21"/>
          <w:szCs w:val="21"/>
        </w:rPr>
        <w:t xml:space="preserve">A company's overall syndicate score is the highest score among its named investors — the logic being that one sufficiently strong anchor investor can carry a syndicate, even if co-investors are unscored or weak. Every score is shown alongside a completeness indicator (e.g., "3 of 9 dimensions verified") so a high score built on thin evidence is never mistaken for a fully substantiated one.</w:t>
      </w:r>
    </w:p>
    <w:p>
      <w:pPr>
        <w:pStyle w:val="Heading1"/>
        <w:pBdr>
          <w:bottom w:val="single" w:color="9C6F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2A38"/>
          <w:sz w:val="30"/>
          <w:szCs w:val="30"/>
        </w:rPr>
        <w:t xml:space="preserve">4. Tier Bands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400"/>
      </w:tblGrid>
      <w:tr>
        <w:trPr>
          <w:tblHeader/>
        </w:trPr>
        <w:tc>
          <w:tcPr>
            <w:tcW w:type="dxa" w:w="3200"/>
            <w:shd w:fill="1B2A3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3600"/>
            <w:shd w:fill="1B2A3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400"/>
            <w:shd w:fill="1B2A3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65 – 100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Strong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Clear anchor investor for this deal — de-risks Series A fundability.</w:t>
            </w:r>
          </w:p>
        </w:tc>
      </w:tr>
      <w:tr>
        <w:tc>
          <w:tcPr>
            <w:tcW w:type="dxa" w:w="32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40 – 64</w:t>
            </w:r>
          </w:p>
        </w:tc>
        <w:tc>
          <w:tcPr>
            <w:tcW w:type="dxa" w:w="36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Moderate</w:t>
            </w:r>
          </w:p>
        </w:tc>
        <w:tc>
          <w:tcPr>
            <w:tcW w:type="dxa" w:w="34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Credible participant, but not sufficient alone as the syndicate's anchor.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0 – 39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Weak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Limited evidence this investor strengthens the company's path to Series A.</w:t>
            </w:r>
          </w:p>
        </w:tc>
      </w:tr>
      <w:tr>
        <w:tc>
          <w:tcPr>
            <w:tcW w:type="dxa" w:w="32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Unscored</w:t>
            </w:r>
          </w:p>
        </w:tc>
        <w:tc>
          <w:tcPr>
            <w:tcW w:type="dxa" w:w="36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Fewer than one High-weight dimension has verified evidence; treat as data gap, not a score of zero.</w:t>
            </w:r>
          </w:p>
        </w:tc>
      </w:tr>
    </w:tbl>
    <w:p>
      <w:pPr>
        <w:pStyle w:val="Heading1"/>
        <w:pBdr>
          <w:bottom w:val="single" w:color="9C6F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2A38"/>
          <w:sz w:val="30"/>
          <w:szCs w:val="30"/>
        </w:rPr>
        <w:t xml:space="preserve">5. Deal-Relative vs. Fund-Level Logic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B2A38"/>
          <w:sz w:val="21"/>
          <w:szCs w:val="21"/>
        </w:rPr>
        <w:t xml:space="preserve">Local Country Presence is deal-relative: it is computed fresh for every company based on whether the fund's confirmed presence countries include that company's HQ. All other dimensions are fund-level: scored once per fund and reused across every company in the database. This is what allows the same fund — for example, Novastar Ventures — to score differently against a fintech company than it would against a climate company, without manually re-scoring every dimension each time.</w:t>
      </w:r>
    </w:p>
    <w:p>
      <w:pPr>
        <w:pStyle w:val="Heading1"/>
        <w:pBdr>
          <w:bottom w:val="single" w:color="9C6F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2A38"/>
          <w:sz w:val="30"/>
          <w:szCs w:val="30"/>
        </w:rPr>
        <w:t xml:space="preserve">6. Fund Vintage / Follow-On Capacity Proxy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B2A38"/>
          <w:sz w:val="21"/>
          <w:szCs w:val="21"/>
        </w:rPr>
        <w:t xml:space="preserve">Deployment periods run 5-6 years, and follow-on reserves for existing portfolio companies typically remain active through year 6-7. Age alone is therefore a weak signal until a fund is quite old.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A38"/>
          <w:sz w:val="21"/>
          <w:szCs w:val="21"/>
        </w:rPr>
        <w:t xml:space="preserve">Years 1-3: High follow-on capacity — still actively deploying.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A38"/>
          <w:sz w:val="21"/>
          <w:szCs w:val="21"/>
        </w:rPr>
        <w:t xml:space="preserve">Years 4-6: Medium-High — still within or just past deployment; follow-on reserves typically active.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A38"/>
          <w:sz w:val="21"/>
          <w:szCs w:val="21"/>
        </w:rPr>
        <w:t xml:space="preserve">Years 6-7: Medium — past deployment, but plausibly still within the active follow-on window.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A38"/>
          <w:sz w:val="21"/>
          <w:szCs w:val="21"/>
        </w:rPr>
        <w:t xml:space="preserve">Year 8+: Low — beyond the typical follow-on window; fund likely in harvest/exit mode.</w:t>
      </w:r>
    </w:p>
    <w:p>
      <w:pPr>
        <w:spacing w:after="160"/>
      </w:pPr>
      <w:r>
        <w:rPr>
          <w:i/>
          <w:iCs/>
          <w:color w:val="5A6472"/>
          <w:sz w:val="19"/>
          <w:szCs w:val="19"/>
        </w:rPr>
        <w:t xml:space="preserve">This remains a proxy. Actual deployment pace is not public; two funds of the same age and size can have very different real capacity. The tool labels this field "estimated follow-on capacity" rather than presenting it as a confirmed figure.</w:t>
      </w:r>
    </w:p>
    <w:p>
      <w:pPr>
        <w:pStyle w:val="Heading1"/>
        <w:pBdr>
          <w:bottom w:val="single" w:color="9C6F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2A38"/>
          <w:sz w:val="30"/>
          <w:szCs w:val="30"/>
        </w:rPr>
        <w:t xml:space="preserve">7. Worked Examples From the Live Database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B2A38"/>
          <w:sz w:val="21"/>
          <w:szCs w:val="21"/>
        </w:rPr>
        <w:t xml:space="preserve">Fund profiles are populated only where real evidence was found during sourcing. Unscored dimensions are left blank rather than estimated, and every fund displays a completeness count.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600"/>
      </w:tblGrid>
      <w:tr>
        <w:trPr>
          <w:tblHeader/>
        </w:trPr>
        <w:tc>
          <w:tcPr>
            <w:tcW w:type="dxa" w:w="3000"/>
            <w:shd w:fill="1B2A3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Fund</w:t>
            </w:r>
          </w:p>
        </w:tc>
        <w:tc>
          <w:tcPr>
            <w:tcW w:type="dxa" w:w="3600"/>
            <w:shd w:fill="1B2A3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Evidence (this database)</w:t>
            </w:r>
          </w:p>
        </w:tc>
        <w:tc>
          <w:tcPr>
            <w:tcW w:type="dxa" w:w="3600"/>
            <w:shd w:fill="1B2A3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Completeness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Flourish Ventures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Led MoneyHash pre-Series A; co-led HoneyCoin seed w/ TLcom. $850M fintech-focused portfolio, incl. Flutterwave, Chime, FairMoney.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3 of 9 dimensions</w:t>
            </w:r>
          </w:p>
        </w:tc>
      </w:tr>
      <w:tr>
        <w:tc>
          <w:tcPr>
            <w:tcW w:type="dxa" w:w="30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Algebra Ventures</w:t>
            </w:r>
          </w:p>
        </w:tc>
        <w:tc>
          <w:tcPr>
            <w:tcW w:type="dxa" w:w="36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Egypt-dedicated. Fund II $100M (2022). DFI/govt LP base. Co-invested with Quona Capital on enza.</w:t>
            </w:r>
          </w:p>
        </w:tc>
        <w:tc>
          <w:tcPr>
            <w:tcW w:type="dxa" w:w="36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3 of 9 dimensions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TLcom Capital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$350M+ AUM. Offices Lagos, Nairobi, London. Co-invested with Flourish on HoneyCoin.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2 of 9 dimensions</w:t>
            </w:r>
          </w:p>
        </w:tc>
      </w:tr>
      <w:tr>
        <w:tc>
          <w:tcPr>
            <w:tcW w:type="dxa" w:w="30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B2A38"/>
                <w:sz w:val="20"/>
                <w:szCs w:val="20"/>
              </w:rPr>
              <w:t xml:space="preserve">54 Collective</w:t>
            </w:r>
          </w:p>
        </w:tc>
        <w:tc>
          <w:tcPr>
            <w:tcW w:type="dxa" w:w="36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Co-led Scale's pre-seed. No further verified profile data yet.</w:t>
            </w:r>
          </w:p>
        </w:tc>
        <w:tc>
          <w:tcPr>
            <w:tcW w:type="dxa" w:w="3600"/>
            <w:shd w:fill="F4F1EA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38"/>
                <w:sz w:val="20"/>
                <w:szCs w:val="20"/>
              </w:rPr>
              <w:t xml:space="preserve">0 of 9 dimensions</w:t>
            </w:r>
          </w:p>
        </w:tc>
      </w:tr>
    </w:tbl>
    <w:p>
      <w:pPr>
        <w:pStyle w:val="Heading1"/>
        <w:pBdr>
          <w:bottom w:val="single" w:color="9C6F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2A38"/>
          <w:sz w:val="30"/>
          <w:szCs w:val="30"/>
        </w:rPr>
        <w:t xml:space="preserve">8. Manual, Unweighted Input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  <w:color w:val="1B2A38"/>
          <w:sz w:val="21"/>
          <w:szCs w:val="21"/>
        </w:rPr>
        <w:t xml:space="preserve">Founder reputation is sourced from private network knowledge — direct conversations with founders, not public data — and is recorded per company as a qualitative note. It is displayed alongside the automated score but is deliberately excluded from the 0-100 calculation, since it cannot be independently verified or reproduced by someone else using this system.</w:t>
      </w:r>
    </w:p>
    <w:p>
      <w:pPr>
        <w:pStyle w:val="Heading1"/>
        <w:pBdr>
          <w:bottom w:val="single" w:color="9C6F2E" w:sz="8" w:space="4"/>
        </w:pBdr>
        <w:spacing w:after="140" w:before="320"/>
      </w:pPr>
      <w:r>
        <w:rPr>
          <w:rFonts w:ascii="Georgia" w:cs="Georgia" w:eastAsia="Georgia" w:hAnsi="Georgia"/>
          <w:b/>
          <w:bCs/>
          <w:color w:val="1B2A38"/>
          <w:sz w:val="30"/>
          <w:szCs w:val="30"/>
        </w:rPr>
        <w:t xml:space="preserve">9. Honesty Constraints Built Into the Model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A38"/>
          <w:sz w:val="21"/>
          <w:szCs w:val="21"/>
        </w:rPr>
        <w:t xml:space="preserve">No dimension is ever filled in with an estimated number to avoid a blank field — every score carries either real evidence or is left null.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A38"/>
          <w:sz w:val="21"/>
          <w:szCs w:val="21"/>
        </w:rPr>
        <w:t xml:space="preserve">A fund's completeness score is shown next to its syndicate score at all times.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A38"/>
          <w:sz w:val="21"/>
          <w:szCs w:val="21"/>
        </w:rPr>
        <w:t xml:space="preserve">The co-investor network graph is built only from confirmed public deal records and is labeled as partial, not comprehensive.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B2A38"/>
          <w:sz w:val="21"/>
          <w:szCs w:val="21"/>
        </w:rPr>
        <w:t xml:space="preserve">The Stage 4 syndicate check used to build the initial 15-25 watchlist is a binary pass/fail against the written definition above — the full 0-100 scoring engine is reserved for narrowing the watchlist down to the final 2-3 highest-conviction picks.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2026-08-12T17:04:48.004Z</dcterms:created>
  <dcterms:modified xsi:type="dcterms:W3CDTF">2026-08-12T17:04:48.006Z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