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1f386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40"/>
          <w:szCs w:val="40"/>
          <w:rtl w:val="0"/>
        </w:rPr>
        <w:t xml:space="preserve">Rozhodnutia predstavenstva – P0 zjednotenie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IOTA Defence a.s. · návrh uznesení predstavenstva na odstránenie rozporov v balíku compliance a bezpečnosti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 New Roman" w:cs="Times New Roman" w:eastAsia="Times New Roman" w:hAnsi="Times New Roman"/>
          <w:color w:val="40404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IOTA Defence a.s. · Verzia 1.0 · Dátum: 6. 10. 2026 · Vypracoval: Márian Stančík · Klasifikácia: Interné – Dôverné · Stav: NÁVRH</w:t>
      </w:r>
    </w:p>
    <w:tbl>
      <w:tblPr>
        <w:tblStyle w:val="Table1"/>
        <w:tblW w:w="9360.0" w:type="dxa"/>
        <w:jc w:val="left"/>
        <w:tblBorders>
          <w:top w:color="c00000" w:space="0" w:sz="12" w:val="single"/>
          <w:left w:color="c00000" w:space="0" w:sz="12" w:val="single"/>
          <w:bottom w:color="c00000" w:space="0" w:sz="12" w:val="single"/>
          <w:right w:color="c00000" w:space="0" w:sz="12" w:val="single"/>
          <w:insideH w:color="c00000" w:space="0" w:sz="12" w:val="single"/>
          <w:insideV w:color="c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12" w:val="single"/>
              <w:left w:color="c00000" w:space="0" w:sz="12" w:val="single"/>
              <w:bottom w:color="c00000" w:space="0" w:sz="12" w:val="single"/>
              <w:right w:color="c00000" w:space="0" w:sz="12" w:val="single"/>
            </w:tcBorders>
            <w:shd w:fill="fce4d6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NÁVRH – NIE JE PRÁVNA RADA. NA SCHVÁLENIE PREDSTAVENSTVOM.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 Dokument navrhuje znenie uznesení predstavenstva IOTA Defence a.s., ktoré odstraňujú nekonzistencie N1–N11 a rozhodnutia R1–R10 z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2"/>
                  <w:szCs w:val="22"/>
                  <w:u w:val="single"/>
                  <w:shd w:fill="auto" w:val="clear"/>
                  <w:rtl w:val="0"/>
                </w:rPr>
                <w:t xml:space="preserve">Auditu medzier v1.0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. Mená, sumy a dátumy sú zámerne [DOPLNIŤ]. Pred prijatím overí advokát súlad so stanovami spoločnosti a Obchodným zákonníkom (úprava akciovej spoločnosti) a bezpečnostný poradca súlad so zákonom č. 215/2004 Z. z.</w:t>
            </w:r>
          </w:p>
        </w:tc>
      </w:tr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 New Roman" w:cs="Times New Roman" w:eastAsia="Times New Roman" w:hAnsi="Times New Roman"/>
          <w:color w:val="1f386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2"/>
          <w:szCs w:val="32"/>
          <w:rtl w:val="0"/>
        </w:rPr>
        <w:t xml:space="preserve">1. Účel a spôsob prijatia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Účelom je jedným aktom predstavenstva zjednotiť riadiacu architektúru compliance a bezpečnosti tak, aby všetky dokumenty balíka (Rámec, Tech stack, Onboarding, Nákup/P2P, INDEX a schémy 01–08) opisovali rovnaký stav. Uznesenia sa prijímajú na zasadnutí predstavenstva (alebo per rollam, ak to stanovy pripúšťajú) a zapisujú sa do zápisnice zo zasadnutia predstavenstva.</w:t>
      </w:r>
    </w:p>
    <w:tbl>
      <w:tblPr>
        <w:tblStyle w:val="Table2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Parameter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Hodnota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Orgán, ktorý rozhoduje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IOTA Defence a.s. (štatutárny orgán)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Orgán, ktorý sa informuje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Dozorná rada (kontrolný orgán) – na najbližšom zasadnutí; predseda dozornej rady dostane kópiu zápisnice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Valné zhromaždenie akcionárov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Nerozhoduje; informuje sa len ak to vyžadujú stanovy [DOPLNIŤ – overiť stanovy]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Dátum zasadnutia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Prítomní členovia predstavenstva / kvórum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 / [DOPLNIŤ podľa stanov]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Číslo zápisnice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(deň schválenia)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Dátum prijatia týchto uznesení; od neho sa počítajú termíny „T + n“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 New Roman" w:cs="Times New Roman" w:eastAsia="Times New Roman" w:hAnsi="Times New Roman"/>
          <w:color w:val="1f386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2"/>
          <w:szCs w:val="32"/>
          <w:rtl w:val="0"/>
        </w:rPr>
        <w:t xml:space="preserve">2. Prehľad uznesení</w:t>
      </w:r>
    </w:p>
    <w:tbl>
      <w:tblPr>
        <w:tblStyle w:val="Table3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Č.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Predmet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Rieši (audit)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Dotknuté dokumenty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U-01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Orgány a.s. a terminológia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N3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2.1–2.2; schéma 01; INDEX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U-02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Línia reportingu 2. línie (Compliance, Bezpečnosť, CISO, Export)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N1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Rámec 1.4, 2.2; schéma 01; INDEX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U-03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Frekvencia a forma reportingu (štvrťročne / ročne)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N2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1.4; schéma 01; šablóna D23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U-04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Interný audit (3. línia) – mandát a reporting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Rámec 2.2; schéma 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U-05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 v modeli troch línií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N4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Schéma 02; Rámec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U-06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Oddelenie CISO od IT prevádzky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N7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Tech stack 5; Rámec 3; schéma 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U-07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HR, IT prevádzka, Kvalita a DPO v organizačnej štruktúre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N9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2; RACI; schéma 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U-08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Poradie krokov due diligence a zápisu do registra partnerov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N5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Schéma 07; Tech stack 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U-09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Lehoty a adresáti hlásení incidentov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N6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7; schéma 08; dokument 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U-10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Menovanie osôb 2. línie a zástupcov; povolené kumulácie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R1, D01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Menovacie dekréty; dokument 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U-11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Rozlíšenie pojmov „zodpovedná osoba“ a terminológia utajovaných skutočností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N8, N11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2.2, 5.6; slovník pojmov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U-12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Archivácia duplicitných schém a pravidlo číslovania dokumentov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N10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INDEX 3; priečinok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U-13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Uloženie úloh: podpisový poriadok, BIA/RPO/RTO, posúdenie NIS2, DPO, whistleblowing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R3, R5, R6, R9, D05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Dokumenty 08, 09, 10</w:t>
            </w:r>
          </w:p>
        </w:tc>
      </w:tr>
    </w:tbl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rPr>
          <w:rFonts w:ascii="Times New Roman" w:cs="Times New Roman" w:eastAsia="Times New Roman" w:hAnsi="Times New Roman"/>
          <w:color w:val="1f386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2"/>
          <w:szCs w:val="32"/>
          <w:rtl w:val="0"/>
        </w:rPr>
        <w:t xml:space="preserve">3. Návrh znenia uznesení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 New Roman" w:cs="Times New Roman" w:eastAsia="Times New Roman" w:hAnsi="Times New Roman"/>
          <w:color w:val="1f386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6"/>
          <w:szCs w:val="26"/>
          <w:rtl w:val="0"/>
        </w:rPr>
        <w:t xml:space="preserve">U-01 – Orgány akciovej spoločnosti</w:t>
      </w:r>
    </w:p>
    <w:tbl>
      <w:tblPr>
        <w:tblStyle w:val="Table4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Časť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Kontext / zistenie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v1.0 používa pojmy „konateľ“, „spoločníci“ a „valné zhromaždenie / spoločníci“, ktoré patria spoločnosti s ručením obmedzeným. IOTA Defence a.s. je akciová spoločnosť.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Návrh znenia uznesenia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určuje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, že vo všetkých interných predpisoch compliance a bezpečnosti sa používajú výlučne pojmy: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valné zhromaždenie akcionárov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(najvyšší orgán),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(štatutárny orgán, riadi spoločnosť a koná v jej mene),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dozorná rada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(kontrolný orgán, dohliada na výkon pôsobnosti predstavenstva). Pojem „konateľ“ a „spoločník“ sa nepoužíva. Ak predpis hovorí o „štatutárovi“, rozumie sa ním predstavenstvo, resp. poverený člen predstavenstva (gestor) podľa U-02.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Dopad na dokumenty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v1.1 kap. 2.1–2.2; schéma 01 (prekresliť: Valné zhromaždenie → Dozorná rada / Predstavenstvo); INDEX.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Zodpovedný za vykonanie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Autor balíka + Legal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Termín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+ 3 týždne</w:t>
            </w:r>
          </w:p>
        </w:tc>
      </w:tr>
    </w:tbl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 New Roman" w:cs="Times New Roman" w:eastAsia="Times New Roman" w:hAnsi="Times New Roman"/>
          <w:color w:val="1f386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6"/>
          <w:szCs w:val="26"/>
          <w:rtl w:val="0"/>
        </w:rPr>
        <w:t xml:space="preserve">U-02 – Jednotná línia reportingu 2. línie</w:t>
      </w:r>
    </w:p>
    <w:tbl>
      <w:tblPr>
        <w:tblStyle w:val="Table5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Časť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Kontext / zistenie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Rámec: 2. línia reportuje štatutárovi s priamym prístupom k DR. Schéma 01 a INDEX: „CCO/CISO/Bezpečnosť reportujú do DR“. Stav je nejednotný.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Návrh znenia uznesenia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určuje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jednotnú líniu reportingu: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(a) Chief Compliance Officer (CCO), Bezpečnostný manažér (utajované skutočnosti / NBÚ), CISO a Export Control Officer (ECO)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reportujú predstavenstvu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, a to prostredníctvom povereného člena predstavenstva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gestora compliance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[DOPLNIŤ meno]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gestora bezpečnosti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[DOPLNIŤ meno]. Gestor nesmie byť zároveň priamo zodpovedný za obchod / predaj (konflikt záujmov); ak to nie je možné, reportuje sa celému predstavenstvu.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(b) Funkcie 2. línie nie sú podriadené Obchodu, Nákupu, Výrobe ani Financiám.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(c) CCO a Bezpečnostný manažér majú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právo priameho prístupu k predsedovi dozornej rady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bez predchádzajúceho súhlasu predstavenstva, najmä ak sa podozrenie týka člena predstavenstva alebo ak predstavenstvo nekoná.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(d) Odvolanie CCO, CISO, Bezpečnostného manažéra alebo ECO z funkcie oznámi predstavenstvo dozornej rade vopred s odôvodnením.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Dopad na dokumenty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1.4, 2.2; schéma 01 (šípky: 2. línia → Predstavenstvo; prerušovaná čiara → Dozorná rada „prístup + štvrťročný report“); INDEX 1 (opraviť text riadku 01).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Zodpovedný za vykonanie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Predstavenstvo; vykoná autor balíka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Termín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+ 3 týždne</w:t>
            </w:r>
          </w:p>
        </w:tc>
      </w:tr>
    </w:tbl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 New Roman" w:cs="Times New Roman" w:eastAsia="Times New Roman" w:hAnsi="Times New Roman"/>
          <w:color w:val="1f386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6"/>
          <w:szCs w:val="26"/>
          <w:rtl w:val="0"/>
        </w:rPr>
        <w:t xml:space="preserve">U-03 – Frekvencia a forma reportingu</w:t>
      </w:r>
    </w:p>
    <w:tbl>
      <w:tblPr>
        <w:tblStyle w:val="Table6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Časť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Kontext / zistenie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Rámec: „najmenej raz ročne“; schéma 01: „štvrťročný compliance report“.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Návrh znenia uznesenia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určuje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(a)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Štvrťročný report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2. línie (compliance, bezpečnosť utajovaných skutočností, kybernetická bezpečnosť, exportná kontrola) – predkladá sa predstavenstvu a v rovnakom znení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dozornej rade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do [DOPLNIŤ] pracovných dní po skončení štvrťroka.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(b)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Ročná správa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o účinnosti systému compliance a bezpečnosti – predstavenstvu a dozornej rade; je podkladom pre manažérske preskúmanie (ISO/IEC 27001, ISO 37001).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(c)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Ad hoc hlásenie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bezodkladne pri závažnom incidente, podozrení na korupciu, porušení sankcií / exportného režimu alebo bezpečnostnom incidente s utajovanými skutočnosťami.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(d) Šablónu reportu (KPI/KRI) pripraví CCO (D23); obsah týkajúci sa utajovaných skutočností sa v reporte uvádza len v neutajovanej forme.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Dopad na dokumenty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1.4; schéma 01; nová šablóna reportingu (D23); JD v dokumente 07 (KPI).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Zodpovedný za vykonanie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CCO (šablóna), gestori (predloženie)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Termín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Prvý štvrťročný report za štvrťrok, v ktorom nastane T + 1 mesiac</w:t>
            </w:r>
          </w:p>
        </w:tc>
      </w:tr>
    </w:tbl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 New Roman" w:cs="Times New Roman" w:eastAsia="Times New Roman" w:hAnsi="Times New Roman"/>
          <w:color w:val="1f386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6"/>
          <w:szCs w:val="26"/>
          <w:rtl w:val="0"/>
        </w:rPr>
        <w:t xml:space="preserve">U-04 – Interný audit (3. línia)</w:t>
      </w:r>
    </w:p>
    <w:tbl>
      <w:tblPr>
        <w:tblStyle w:val="Table7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Časť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Kontext / zistenie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Funkcia je definovaná, chýba mandát a reporting.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Návrh znenia uznesenia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navrhuje dozornej rade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, aby interný audit funkčne reportoval dozornej rade (schvaľovanie ročného plánu auditu, prijímanie správ) a administratívne predstavenstvu. Interný audit nesmie vykonávať činnosti 1. ani 2. línie. Forma (interný / outsourcing) [DOPLNIŤ]. Štatút interného auditu (D24) predloží [DOPLNIŤ] do T + [DOPLNIŤ].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Dopad na dokumenty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vertAlign w:val="baseline"/>
                <w:rtl w:val="0"/>
              </w:rPr>
              <w:t xml:space="preserve">Rámec 2.2; schéma 02 (3. línia → Dozorná rada).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Zodpovedný za vykonanie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 + Dozorná 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Termín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[DOPLNIŤ]</w:t>
            </w:r>
          </w:p>
        </w:tc>
      </w:tr>
    </w:tbl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 New Roman" w:cs="Times New Roman" w:eastAsia="Times New Roman" w:hAnsi="Times New Roman"/>
          <w:color w:val="1f386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6"/>
          <w:szCs w:val="26"/>
          <w:rtl w:val="0"/>
        </w:rPr>
        <w:t xml:space="preserve">U-05 – Legal v modeli troch línií</w:t>
      </w:r>
    </w:p>
    <w:tbl>
      <w:tblPr>
        <w:tblStyle w:val="Table8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Časť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Kontext / zistenie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zaraďuje Legal do 2. línie, schéma 02 ho neuvádza.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Návrh znenia uznesenia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určuje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, že Legal (interný právnik alebo externý advokát na základe zmluvy [DOPLNIŤ]) je súčasťou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2. línie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pre právne riziko (zmluvné doložky, plné moci, posúdenie pôsobnosti predpisov, podpora vyšetrovaní). Pri bežnej podpore obchodných zmlúv koná ako poradca 1. línie, rozhodnutie o právnom riziku však ostáva nezávislé od Obchodu.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Dopad na dokumenty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Schéma 02 (doplniť Legal do 2. línie); Rámec 3 (RACI).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Zodpovedný za vykonanie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Autor balíka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Termín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+ 3 týždne</w:t>
            </w:r>
          </w:p>
        </w:tc>
      </w:tr>
    </w:tbl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 New Roman" w:cs="Times New Roman" w:eastAsia="Times New Roman" w:hAnsi="Times New Roman"/>
          <w:color w:val="1f386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6"/>
          <w:szCs w:val="26"/>
          <w:rtl w:val="0"/>
        </w:rPr>
        <w:t xml:space="preserve">U-06 – Oddelenie CISO od IT prevádzky</w:t>
      </w:r>
    </w:p>
    <w:tbl>
      <w:tblPr>
        <w:tblStyle w:val="Table9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Časť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Kontext / zistenie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Tech stack kap. 5 uvádza CISO ako A aj R pre IAM, EDR a zálohy (prevádzka = 1. línia) a zároveň ako nezávislú kontrolu (2. línia).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Návrh znenia uznesenia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určuje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(a)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IT prevádzka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(vedúci IT [DOPLNIŤ] alebo externý správca na základe zmluvy so SLA) je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1. línia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a je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za výkon: správa identít a prístupov, zálohovanie a obnova, záplaty, EDR, konfigurácia logovania.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(b)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CISO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je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2. línia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: je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za politiku informačnej bezpečnosti, štandardy, dohľad, testovanie kontrol, posúdenie rizík a hlásenia podľa zákona č. 69/2018 Z. z.; nevykonáva bežnú administráciu systémov a nemá trvalé privilegované účty mimo režimu „break-glass“.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(c) Ak z kapacitných dôvodov nie je oddelenie dočasne možné, predstavenstvo kumuláciu výslovne schváli s dobou trvania [DOPLNIŤ] a s kompenzačnými kontrolami: štvrťročná nezávislá kontrola výkonu IT prevádzky interným auditom alebo externým vCISO, záznam o každom použití privilegovaného prístupu, report o kumulácii v štvrťročnom reporte dozornej rade.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Dopad na dokumenty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Tech stack 5 (RACI nástrojov); Rámec 3; schéma 01 (doplniť IT prevádzku v 1. línii); dokumenty 07, 08, 09.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Zodpovedný za vykonanie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Predstavenstvo; vykoná CISO + vedúci 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Termín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+ 4 týždne</w:t>
            </w:r>
          </w:p>
        </w:tc>
      </w:tr>
    </w:tbl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 New Roman" w:cs="Times New Roman" w:eastAsia="Times New Roman" w:hAnsi="Times New Roman"/>
          <w:color w:val="1f386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6"/>
          <w:szCs w:val="26"/>
          <w:rtl w:val="0"/>
        </w:rPr>
        <w:t xml:space="preserve">U-07 – Doplnenie HR, IT prevádzky, Kvality a DPO</w:t>
      </w:r>
    </w:p>
    <w:tbl>
      <w:tblPr>
        <w:tblStyle w:val="Table10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Časť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Kontext / zistenie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HR vystupuje v Onboardingu ako R, ale v organizačnej štruktúre rámca chýba; podobne IT prevádzka, Kvalita a DPO.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Návrh znenia uznesenia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dopĺňa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do organizačnej štruktúry: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HR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(1. línia; R za nástup/odchod zamestnancov, popisy pracovných miest, evidenciu školení, disciplinárne konanie v súlade so Zákonníkom práce),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IT prevádzku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(1. línia, pozri U-06),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Kvalitu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(1. línia; vstupná kontrola, falzifikáty, AQAP / ISO 9001)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DPO / koordinátora ochrany osobných údajov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(2. línia; rozhodnutie o povinnosti DPO podľa čl. 37 GDPR – pozri U-13). Každá funkcia má menovaného vedúceho [DOPLNIŤ].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Dopad na dokumenty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2 a 3 (RACI); schéma 01.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Zodpovedný za vykonanie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Autor balíka + HR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Termín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+ 3 týždne</w:t>
            </w:r>
          </w:p>
        </w:tc>
      </w:tr>
    </w:tbl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 New Roman" w:cs="Times New Roman" w:eastAsia="Times New Roman" w:hAnsi="Times New Roman"/>
          <w:color w:val="1f386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6"/>
          <w:szCs w:val="26"/>
          <w:rtl w:val="0"/>
        </w:rPr>
        <w:t xml:space="preserve">U-08 – Poradie due diligence a zápisu do registra</w:t>
      </w:r>
    </w:p>
    <w:tbl>
      <w:tblPr>
        <w:tblStyle w:val="Table11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Časť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Kontext / zistenie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Tech stack: zápis do registra je krok 1 („bez zápisu sa nesmie rokovať“); schéma 07: zápis je krok 6 po zmluve.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Návrh znenia uznesenia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určuje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záväzné poradie: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krok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– zápis partnera do registra partnerov v stave „v preverovaní“ (pred akýmkoľvek rokovaním o obchodných podmienkach); kroky 2–5 – screening, rizikové skóre, rozhodnutie CCO / STOP, zmluva s doložkami;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krok 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– aktivácia partnera v registri (stav „schválený“) až po podpise zmluvy. Žiadna platba ani plná moc pred krokom 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Dopad na dokumenty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Schéma 07 (prekresliť); Tech stack 1.1 (bez zmeny); Rámec Príloha 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Zodpovedný za vykonanie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Termín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+ 3 týždne</w:t>
            </w:r>
          </w:p>
        </w:tc>
      </w:tr>
    </w:tbl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 New Roman" w:cs="Times New Roman" w:eastAsia="Times New Roman" w:hAnsi="Times New Roman"/>
          <w:color w:val="1f386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6"/>
          <w:szCs w:val="26"/>
          <w:rtl w:val="0"/>
        </w:rPr>
        <w:t xml:space="preserve">U-09 – Lehoty a adresáti hlásení incidentov</w:t>
      </w:r>
    </w:p>
    <w:tbl>
      <w:tblPr>
        <w:tblStyle w:val="Table12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Časť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Kontext / zistenie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uvádza 24 h / 72 h / 1 mesiac, schéma 08 „orientačne rýchle, over“.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Návrh znenia uznesenia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určuje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, že všetky dokumenty uvádzajú jednotnú tabuľku lehôt podľa dokumentu 09 kap. 9 (kybernetický incident – NBÚ podľa zákona č. 69/2018 Z. z. v znení zákona č. 366/2024 Z. z., ak je spoločnosť v pôsobnosti; porušenie ochrany osobných údajov – ÚOOÚ SR do 72 h podľa čl. 33 GDPR; bezpečnostný incident s utajovanými skutočnosťami – NBÚ bezodkladne podľa zákona č. 215/2004 Z. z.; korupcia / sankcie – podľa posúdenia Legal). Lehoty potvrdí Legal podľa aktuálneho znenia predpisov pred schválením a CISO ich zapracuje do schémy 08.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Dopad na dokumenty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7; schéma 08 (prekresliť – doplniť lehoty a väzbu na BCP); dokumenty 08 a 09.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Zodpovedný za vykonanie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CISO + Legal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Termín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+ 4 týždne</w:t>
            </w:r>
          </w:p>
        </w:tc>
      </w:tr>
    </w:tbl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 New Roman" w:cs="Times New Roman" w:eastAsia="Times New Roman" w:hAnsi="Times New Roman"/>
          <w:color w:val="1f386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6"/>
          <w:szCs w:val="26"/>
          <w:rtl w:val="0"/>
        </w:rPr>
        <w:t xml:space="preserve">U-10 – Menovania a zástupcovia</w:t>
      </w:r>
    </w:p>
    <w:tbl>
      <w:tblPr>
        <w:tblStyle w:val="Table13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Časť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Kontext / zistenie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Nie sú menované osoby ani zástupcovia pre žiadnu funkciu 2. línie (D01).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Návrh znenia uznesenia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menuje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s účinnosťou od [DOPLNIŤ]:</w:t>
            </w:r>
          </w:p>
          <w:tbl>
            <w:tblPr>
              <w:tblStyle w:val="Table14"/>
              <w:tblW w:w="4290.0" w:type="dxa"/>
              <w:jc w:val="left"/>
              <w:tblBorders>
                <w:top w:color="444444" w:space="0" w:sz="6" w:val="single"/>
                <w:left w:color="444444" w:space="0" w:sz="6" w:val="single"/>
                <w:bottom w:color="444444" w:space="0" w:sz="6" w:val="single"/>
                <w:right w:color="444444" w:space="0" w:sz="6" w:val="single"/>
                <w:insideH w:color="444444" w:space="0" w:sz="6" w:val="single"/>
                <w:insideV w:color="444444" w:space="0" w:sz="6" w:val="single"/>
              </w:tblBorders>
              <w:tblLayout w:type="fixed"/>
              <w:tblLook w:val="0600"/>
            </w:tblPr>
            <w:tblGrid>
              <w:gridCol w:w="858"/>
              <w:gridCol w:w="858"/>
              <w:gridCol w:w="858"/>
              <w:gridCol w:w="858"/>
              <w:gridCol w:w="858"/>
              <w:tblGridChange w:id="0">
                <w:tblGrid>
                  <w:gridCol w:w="858"/>
                  <w:gridCol w:w="858"/>
                  <w:gridCol w:w="858"/>
                  <w:gridCol w:w="858"/>
                  <w:gridCol w:w="858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1f3864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Funkcia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1f3864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Osoba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1f3864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Zástupca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1f3864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Interný / externý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1f3864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Povolená kumulácia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Chief Compliance Officer (CCO)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 – nie s Obchodom, Nákupom, Financiami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Bezpečnostný manažér (utajované / NBÚ)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 – len ak to pripúšťa zákon č. 215/2004 Z. z. a previerka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CISO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 (interný / vCISO)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Nie s IT prevádzkou (U-06), inak len s kompenzačnými kontrolami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Export Control Officer (ECO)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 – možná s CCO; nie s Obchodom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Vedúci IT prevádzky / externý správca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Nie s CISO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DPO / koordinátor ochrany osobných údajov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Podľa U-13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Zodpovedná osoba podľa zákona č. 54/2019 Z. z.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[DOPLNIŤ]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Podľa U-13</w:t>
                  </w:r>
                </w:p>
              </w:tc>
            </w:tr>
          </w:tbl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="311.9999885559082" w:lineRule="auto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Popisy pracovných miest sa schvaľujú podľa dokumentu 07. Menovacie dekréty vyhotoví HR.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Dopad na dokumenty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Menovacie dekréty (D01); dokument 07; Rámec 2.2.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Zodpovedný za vykonanie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Predstavenstvo; HR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Termín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+ 2 týždne</w:t>
            </w:r>
          </w:p>
        </w:tc>
      </w:tr>
    </w:tbl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 New Roman" w:cs="Times New Roman" w:eastAsia="Times New Roman" w:hAnsi="Times New Roman"/>
          <w:color w:val="1f386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6"/>
          <w:szCs w:val="26"/>
          <w:rtl w:val="0"/>
        </w:rPr>
        <w:t xml:space="preserve">U-11 – Terminológia</w:t>
      </w:r>
    </w:p>
    <w:tbl>
      <w:tblPr>
        <w:tblStyle w:val="Table15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Časť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Kontext / zistenie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„Zodpovedná osoba“ sa používa pre DPO aj pre whistleblowing; „zabezpečené priestory“ nezodpovedá terminológii zákona č. 215/2004 Z. 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Návrh znenia uznesenia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ukladá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 používať pojmy „zodpovedná osoba (DPO) podľa GDPR“ a „zodpovedná osoba podľa zákona č. 54/2019 Z. z.“ a pri utajovaných skutočnostiach výlučne terminológiu zákona č. 215/2004 Z. z. a vykonávacích predpisov NBÚ (overí bezpečnostný poradca). Vytvorí sa slovník pojmov (D37).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Dopad na dokumenty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2.2, 5.6; slovník pojmov.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Zodpovedný za vykonanie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CCO + Bezpečnostný manažér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Termín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+ 4 týždne</w:t>
            </w:r>
          </w:p>
        </w:tc>
      </w:tr>
    </w:tbl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 New Roman" w:cs="Times New Roman" w:eastAsia="Times New Roman" w:hAnsi="Times New Roman"/>
          <w:color w:val="1f386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6"/>
          <w:szCs w:val="26"/>
          <w:rtl w:val="0"/>
        </w:rPr>
        <w:t xml:space="preserve">U-12 – Archivácia duplicitných schém a číslovanie</w:t>
      </w:r>
    </w:p>
    <w:tbl>
      <w:tblPr>
        <w:tblStyle w:val="Table16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Časť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Kontext / zistenie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 priečinku sú staršie verzie schém 03 a 04 (duplicitné), dokumenty nemajú jednotné prefixy.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Návrh znenia uznesenia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berie na vedomie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, že platné sú výlučne schémy 01–08 uvedené v INDEX kap. 1. Staršie verzie „03_Schema-Onboarding-Freelancer-vs-TPP“ (ID 1Il21S8…) a „04_Schema-Nakup-Objednavanie-Platby-P2P“ (ID 1tydn5…) sa presúvajú do koša Google Drive (obnoviteľné) / do 99_Archiv. Dokumenty sa číslujú prefixom NN_ podľa cieľového stromu v audite kap. 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Dopad na dokumenty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INDEX kap. 3 (odstrániť alebo označiť „archivované“); priečinok.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Zodpovedný za vykonanie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Autor balíka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Termín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Vykonané 6. 10. 2026 (presun do koša); INDEX T + 3 týždne</w:t>
            </w:r>
          </w:p>
        </w:tc>
      </w:tr>
    </w:tbl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Rule="auto"/>
        <w:rPr>
          <w:rFonts w:ascii="Times New Roman" w:cs="Times New Roman" w:eastAsia="Times New Roman" w:hAnsi="Times New Roman"/>
          <w:color w:val="1f386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6"/>
          <w:szCs w:val="26"/>
          <w:rtl w:val="0"/>
        </w:rPr>
        <w:t xml:space="preserve">U-13 – Uložené úlohy (otvorené rozhodnutia)</w:t>
      </w:r>
    </w:p>
    <w:tbl>
      <w:tblPr>
        <w:tblStyle w:val="Table17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Časť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Kontext / zistenie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Rozhodnutia R3, R5, R6, R7, R8, R9, R10 z auditu kap. 5.1 vyžadujú podklady, ktoré ešte nie sú k dispozícii.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Návrh znenia uznesenia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ukladá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:</w:t>
            </w:r>
          </w:p>
          <w:tbl>
            <w:tblPr>
              <w:tblStyle w:val="Table18"/>
              <w:tblW w:w="4290.0" w:type="dxa"/>
              <w:jc w:val="left"/>
              <w:tblBorders>
                <w:top w:color="444444" w:space="0" w:sz="6" w:val="single"/>
                <w:left w:color="444444" w:space="0" w:sz="6" w:val="single"/>
                <w:bottom w:color="444444" w:space="0" w:sz="6" w:val="single"/>
                <w:right w:color="444444" w:space="0" w:sz="6" w:val="single"/>
                <w:insideH w:color="444444" w:space="0" w:sz="6" w:val="single"/>
                <w:insideV w:color="444444" w:space="0" w:sz="6" w:val="single"/>
              </w:tblBorders>
              <w:tblLayout w:type="fixed"/>
              <w:tblLook w:val="0600"/>
            </w:tblPr>
            <w:tblGrid>
              <w:gridCol w:w="1430"/>
              <w:gridCol w:w="1430"/>
              <w:gridCol w:w="1430"/>
              <w:tblGridChange w:id="0">
                <w:tblGrid>
                  <w:gridCol w:w="1430"/>
                  <w:gridCol w:w="1430"/>
                  <w:gridCol w:w="143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1f3864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Úloha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1f3864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Zodpovedný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1f3864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3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Termín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Podpisový poriadok a schvaľovacie limity (všetky [DOPLNIŤ] v P2P) – R3, D02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Financie + Legal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T + 4 týždne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BIA a návrh RPO/RTO na schválenie – R9 (dokument 08)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CISO + Výroba + Financie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T + 6 týždňov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Písomné posúdenie pôsobnosti zákona č. 69/2018 Z. z. v znení zákona č. 366/2024 Z. z. – D05 (dokument 09 kap. 10)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CISO + Legal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T + 4 týždne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Rozhodnutie o povinnosti DPO (čl. 37 GDPR) – R5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Legal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T + 4 týždne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Zodpovedná osoba podľa zákona č. 54/2019 Z. z. a kanál pri podnete proti členovi predstavenstva – R6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CCO + Legal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T + 4 týždne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Rozsah ISMS a cieľ certifikácie ISO/IEC 27001 a ISO 37001 – R7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CISO / CCO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T + 8 týždňov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Záväzok k bezpečnostnej previerke podnikateľa a rozpočet na chránené priestory – R8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Bezpečnostný manažér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T + 8 týždňov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Rizikový apetít (krajiny, typy partnerov, agentské provízie) – R10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CCO</w:t>
                  </w:r>
                </w:p>
              </w:tc>
              <w:tc>
                <w:tcPr>
                  <w:tcBorders>
                    <w:top w:color="444444" w:space="0" w:sz="6" w:val="single"/>
                    <w:left w:color="444444" w:space="0" w:sz="6" w:val="single"/>
                    <w:bottom w:color="444444" w:space="0" w:sz="6" w:val="single"/>
                    <w:right w:color="444444" w:space="0" w:sz="6" w:val="single"/>
                  </w:tcBorders>
                  <w:shd w:fill="f2f2f2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1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80" w:before="8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shd w:fill="auto" w:val="clear"/>
                      <w:vertAlign w:val="baseline"/>
                      <w:rtl w:val="0"/>
                    </w:rPr>
                    <w:t xml:space="preserve">T + 8 týždňov</w:t>
                  </w:r>
                </w:p>
              </w:tc>
            </w:tr>
          </w:tbl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="311.9999885559082" w:lineRule="auto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Dopad na dokumenty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Dokumenty 08, 09, 10 a budúce D02, D05, D22–D24.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Zodpovedný za vykonanie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Podľa tabuľky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Termín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Podľa tabuľky</w:t>
            </w:r>
          </w:p>
        </w:tc>
      </w:tr>
    </w:tbl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5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 New Roman" w:cs="Times New Roman" w:eastAsia="Times New Roman" w:hAnsi="Times New Roman"/>
          <w:color w:val="1f386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2"/>
          <w:szCs w:val="32"/>
          <w:rtl w:val="0"/>
        </w:rPr>
        <w:t xml:space="preserve">4. Súhrnný model po prijatí uznesení</w:t>
      </w:r>
    </w:p>
    <w:tbl>
      <w:tblPr>
        <w:tblStyle w:val="Table19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Úroveň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Orgán / funkcia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Línia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Reportuje komu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Prístup k dozornej rade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Akcionári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Valné zhromaždenie akcionárov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Volí / odvoláva členov DR podľa stanov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Kontrola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Dozorná rada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Valnému zhromaždeniu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Riadenie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(gestor compliance, gestor bezpečnosti)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Valnému zhromaždeniu; informuje DR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2. línia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Predstavenstvu (gestor compliance)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Priamy prístup + štvrťročný report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2. línia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manažér (NBÚ)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Predstavenstvu (gestor bezpečnosti)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Priamy prístup + štvrťročný report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2. línia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CISO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Predstavenstvu (gestor bezpečnosti)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Štvrťročný report (spoločný s Bezpečnosťou)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2. línia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Export Control Officer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Predstavenstvu (gestor compliance)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Štvrťročný report (súčasť reportu CCO)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2. línia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Legal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Na požiadanie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2. línia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DPO / koordinátor GDPR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požiadanie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1. línia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Obchod, Nákup, Výroba, Financie, HR, IT prevádzka, Kvalita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Predstavenstvu (podľa organizačného poriadku)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3. línia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audit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Funkčne DR, administratívne predstavenstvu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Áno (U-04)</w:t>
            </w:r>
          </w:p>
        </w:tc>
      </w:tr>
    </w:tbl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9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 New Roman" w:cs="Times New Roman" w:eastAsia="Times New Roman" w:hAnsi="Times New Roman"/>
          <w:color w:val="1f386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2"/>
          <w:szCs w:val="32"/>
          <w:rtl w:val="0"/>
        </w:rPr>
        <w:t xml:space="preserve">5. Kontrolný zoznam vykonania</w:t>
      </w:r>
    </w:p>
    <w:tbl>
      <w:tblPr>
        <w:tblStyle w:val="Table20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Úkon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Doklad o vykonaní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Prijatie uznesení U-01 až U-13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Podpísaná zápisnica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OTVORENÉ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Informovanie dozornej rady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Zápisnica DR / potvrdenie predsedu DR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OTVORENÉ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Menovacie dekréty (U-10)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Podpísané dekréty, potvrdenia o prevzatí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OTVORENÉ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Rámec v1.1 so zapracovaním U-01–U-09, U-11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Nová verzia v priečinku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OTVORENÉ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Prekreslenie schém 01, 02, 07, 08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Nové JPEG v1.1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OTVORENÉ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Úprava INDEX (U-02, U-12)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INDEX v1.1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OTVORENÉ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Presun duplicitných schém do koša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Záznam v STATUS (dokument 10)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VYKONANÉ 6. 10. 2026</w:t>
            </w:r>
          </w:p>
        </w:tc>
      </w:tr>
    </w:tbl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 New Roman" w:cs="Times New Roman" w:eastAsia="Times New Roman" w:hAnsi="Times New Roman"/>
          <w:color w:val="1f386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2"/>
          <w:szCs w:val="32"/>
          <w:rtl w:val="0"/>
        </w:rPr>
        <w:t xml:space="preserve">6. Podpisy</w:t>
      </w:r>
    </w:p>
    <w:tbl>
      <w:tblPr>
        <w:tblStyle w:val="Table21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Funkcia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Meno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Podpis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Predseda predstavenstva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Člen predstavenstva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Na vedomie: predseda dozornej rady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Times New Roman" w:cs="Times New Roman" w:eastAsia="Times New Roman" w:hAnsi="Times New Roman"/>
          <w:color w:val="1f386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2"/>
          <w:szCs w:val="32"/>
          <w:rtl w:val="0"/>
        </w:rPr>
        <w:t xml:space="preserve">Správa dokumentu</w:t>
      </w:r>
    </w:p>
    <w:tbl>
      <w:tblPr>
        <w:tblStyle w:val="Table22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Verzia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Popis zmeny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1f3864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Prvý návrh uznesení na zjednotenie P0 nekonzistencií (N1–N11, R1–R10)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– na posúdenie predstavenstvom, právnu a bezpečnostnú revíziu</w:t>
            </w:r>
          </w:p>
        </w:tc>
      </w:tr>
    </w:tbl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HO7-8hn6iXrgKB_HsA4RmqjCUcfPrTqyEMEPHgPrkb0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