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FC-02 · Tri línie ochrany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>
          <w:color w:val="555555"/>
          <w:sz w:val="18"/>
          <w:szCs w:val="18"/>
        </w:rPr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IOTA Defence a.s. · IČO: [DOPLNIŤ] · Verzia 1.0 · 6. 10. 2026 · Vypracoval: Márian Stančík · Interné – Dôverné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ind w:left="180" w:right="180" w:firstLine="0"/>
        <w:jc w:val="center"/>
        <w:rPr>
          <w:b w:val="1"/>
          <w:bCs w:val="1"/>
          <w:sz w:val="20"/>
          <w:szCs w:val="20"/>
          <w:shd w:fill="fff3cd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fff3cd" w:val="clear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0" w:right="0" w:firstLine="0"/>
        <w:rPr>
          <w:color w:val="444444"/>
          <w:sz w:val="18"/>
          <w:szCs w:val="18"/>
        </w:rPr>
      </w:pPr>
      <w:r w:rsidDel="00000000" w:rsidR="00000000" w:rsidRPr="00000000">
        <w:rPr>
          <w:b w:val="1"/>
          <w:bCs w:val="1"/>
          <w:color w:val="444444"/>
          <w:sz w:val="18"/>
          <w:szCs w:val="18"/>
          <w:rtl w:val="0"/>
        </w:rPr>
        <w:t xml:space="preserve">Mapovanie: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Schéma 02 v1.1 · Rámec v1.1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0" w:lineRule="auto"/>
        <w:ind w:left="210" w:right="210" w:firstLine="0"/>
        <w:rPr>
          <w:color w:val="44444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shd w:fill="f4f7fb" w:val="clear"/>
        </w:rPr>
      </w:pPr>
      <w:r w:rsidDel="00000000" w:rsidR="00000000" w:rsidRPr="00000000">
        <w:rPr>
          <w:b w:val="1"/>
          <w:bCs w:val="1"/>
          <w:color w:val="0b1f3a"/>
          <w:shd w:fill="f4f7fb" w:val="clear"/>
          <w:rtl w:val="0"/>
        </w:rPr>
        <w:t xml:space="preserve">1. LÍNIA – prevádzka</w:t>
      </w:r>
      <w:r w:rsidDel="00000000" w:rsidR="00000000" w:rsidRPr="00000000">
        <w:rPr>
          <w:shd w:fill="f4f7fb" w:val="clear"/>
          <w:rtl w:val="0"/>
        </w:rPr>
        <w:t xml:space="preserve">HR, IT prevádzka, Kvalita, Obchod, Nákup, Výroba, Financie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50" w:lineRule="auto"/>
        <w:ind w:left="210" w:right="210" w:firstLine="0"/>
        <w:jc w:val="center"/>
        <w:rPr>
          <w:shd w:fill="f4f7fb" w:val="clear"/>
        </w:rPr>
      </w:pPr>
      <w:r w:rsidDel="00000000" w:rsidR="00000000" w:rsidRPr="00000000">
        <w:rPr>
          <w:shd w:fill="f4f7fb" w:val="clear"/>
          <w:rtl w:val="0"/>
        </w:rPr>
        <w:t xml:space="preserve">Vlastní riziká · denne kontroluje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.0000057220459" w:lineRule="auto"/>
        <w:ind w:left="0" w:right="0" w:firstLine="0"/>
        <w:jc w:val="center"/>
        <w:rPr>
          <w:b w:val="1"/>
          <w:bCs w:val="1"/>
          <w:color w:val="c9a227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9a227"/>
          <w:sz w:val="36"/>
          <w:szCs w:val="36"/>
          <w:rtl w:val="0"/>
        </w:rPr>
        <w:t xml:space="preserve">↓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shd w:fill="f4f7fb" w:val="clear"/>
        </w:rPr>
      </w:pPr>
      <w:r w:rsidDel="00000000" w:rsidR="00000000" w:rsidRPr="00000000">
        <w:rPr>
          <w:b w:val="1"/>
          <w:bCs w:val="1"/>
          <w:color w:val="0b1f3a"/>
          <w:shd w:fill="f4f7fb" w:val="clear"/>
          <w:rtl w:val="0"/>
        </w:rPr>
        <w:t xml:space="preserve">2. LÍNIA – dohľad / compliance / bezpečnosť</w:t>
      </w:r>
      <w:r w:rsidDel="00000000" w:rsidR="00000000" w:rsidRPr="00000000">
        <w:rPr>
          <w:shd w:fill="f4f7fb" w:val="clear"/>
          <w:rtl w:val="0"/>
        </w:rPr>
        <w:t xml:space="preserve">CCO, ECO, Legal, DPO, Bezp. manažér, CISO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50" w:lineRule="auto"/>
        <w:ind w:left="210" w:right="210" w:firstLine="0"/>
        <w:jc w:val="center"/>
        <w:rPr>
          <w:shd w:fill="f4f7fb" w:val="clear"/>
        </w:rPr>
      </w:pPr>
      <w:r w:rsidDel="00000000" w:rsidR="00000000" w:rsidRPr="00000000">
        <w:rPr>
          <w:shd w:fill="f4f7fb" w:val="clear"/>
          <w:rtl w:val="0"/>
        </w:rPr>
        <w:t xml:space="preserve">Politiky, monitoring, STOP-right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.0000057220459" w:lineRule="auto"/>
        <w:ind w:left="0" w:right="0" w:firstLine="0"/>
        <w:jc w:val="center"/>
        <w:rPr>
          <w:b w:val="1"/>
          <w:bCs w:val="1"/>
          <w:color w:val="c9a227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9a227"/>
          <w:sz w:val="36"/>
          <w:szCs w:val="36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50" w:lineRule="auto"/>
        <w:ind w:left="210" w:right="210" w:firstLine="0"/>
        <w:jc w:val="center"/>
        <w:rPr>
          <w:shd w:fill="f4f7fb" w:val="clear"/>
        </w:rPr>
      </w:pPr>
      <w:r w:rsidDel="00000000" w:rsidR="00000000" w:rsidRPr="00000000">
        <w:rPr>
          <w:b w:val="1"/>
          <w:bCs w:val="1"/>
          <w:color w:val="0b1f3a"/>
          <w:shd w:fill="f4f7fb" w:val="clear"/>
          <w:rtl w:val="0"/>
        </w:rPr>
        <w:t xml:space="preserve">3. LÍNIA – interný audit</w:t>
      </w:r>
      <w:r w:rsidDel="00000000" w:rsidR="00000000" w:rsidRPr="00000000">
        <w:rPr>
          <w:shd w:fill="f4f7fb" w:val="clear"/>
          <w:rtl w:val="0"/>
        </w:rPr>
        <w:t xml:space="preserve">Nezávislé testovanie · funkčne DR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.0000057220459" w:lineRule="auto"/>
        <w:ind w:left="0" w:right="0" w:firstLine="0"/>
        <w:jc w:val="center"/>
        <w:rPr>
          <w:b w:val="1"/>
          <w:bCs w:val="1"/>
          <w:color w:val="c9a227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9a227"/>
          <w:sz w:val="36"/>
          <w:szCs w:val="36"/>
          <w:rtl w:val="0"/>
        </w:rPr>
        <w:t xml:space="preserve">↓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jc w:val="center"/>
        <w:rPr>
          <w:shd w:fill="e8f5e9" w:val="clear"/>
        </w:rPr>
      </w:pPr>
      <w:r w:rsidDel="00000000" w:rsidR="00000000" w:rsidRPr="00000000">
        <w:rPr>
          <w:b w:val="1"/>
          <w:bCs w:val="1"/>
          <w:color w:val="0b1f3a"/>
          <w:shd w:fill="e8f5e9" w:val="clear"/>
          <w:rtl w:val="0"/>
        </w:rPr>
        <w:t xml:space="preserve">Predstavenstvo + Dozorná rada</w:t>
      </w:r>
      <w:r w:rsidDel="00000000" w:rsidR="00000000" w:rsidRPr="00000000">
        <w:rPr>
          <w:shd w:fill="e8f5e9" w:val="clear"/>
          <w:rtl w:val="0"/>
        </w:rPr>
        <w:t xml:space="preserve">Schvaľuje rámec · dohľad · reporty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>
          <w:color w:val="0b1f3a"/>
          <w:sz w:val="24"/>
          <w:szCs w:val="24"/>
        </w:rPr>
      </w:pPr>
      <w:r w:rsidDel="00000000" w:rsidR="00000000" w:rsidRPr="00000000">
        <w:rPr>
          <w:color w:val="0b1f3a"/>
          <w:sz w:val="24"/>
          <w:szCs w:val="24"/>
          <w:rtl w:val="0"/>
        </w:rPr>
        <w:t xml:space="preserve">Kroky (tabuľka)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b1f3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Krok</w:t>
            </w:r>
          </w:p>
        </w:tc>
        <w:tc>
          <w:tcPr>
            <w:shd w:fill="0b1f3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Činnosť</w:t>
            </w:r>
          </w:p>
        </w:tc>
        <w:tc>
          <w:tcPr>
            <w:shd w:fill="0b1f3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Kto</w:t>
            </w:r>
          </w:p>
        </w:tc>
        <w:tc>
          <w:tcPr>
            <w:shd w:fill="0b1f3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Výstup / STOP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Identifikácia a riadenie rizika v procese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1. línia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Denná prax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Politiky, limity, screening, monitoring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2. línia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STOP / eskalácia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Nezávislý audit účinnosti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3. línia / 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Správa DR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Schválenie a dohľad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Predstavenstvo / DR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Uznesenia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10" w:lineRule="auto"/>
        <w:ind w:left="600" w:righ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Rozhodovacie body (diamanty):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Kumulácia 1. a 2. línie u jednej osoby? → STOP (výnimka len Predstavenstvo)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right="0" w:hanging="360"/>
      </w:pPr>
      <w:r w:rsidDel="00000000" w:rsidR="00000000" w:rsidRPr="00000000">
        <w:rPr>
          <w:sz w:val="18"/>
          <w:szCs w:val="18"/>
          <w:rtl w:val="0"/>
        </w:rPr>
        <w:t xml:space="preserve">Gestor nesmie byť zodpovedný za predaj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0" w:right="0" w:firstLine="0"/>
        <w:rPr>
          <w:color w:val="666666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IOTA Defence a.s. · 09_Flowcharts · NÁVRH v1.0 · 6. 10. 2026 · Limity EUR a IČO: [DOPLNIŤ]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2744"/>
        <w:sz w:val="22"/>
        <w:szCs w:val="22"/>
      </w:rPr>
    </w:rPrDefault>
    <w:pPrDefault>
      <w:pPr>
        <w:widowControl w:val="0"/>
        <w:spacing w:after="360" w:before="360" w:line="324.0000057220459" w:lineRule="auto"/>
        <w:ind w:left="360" w:righ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Rule="auto"/>
      <w:ind w:left="0" w:right="0" w:firstLine="0"/>
    </w:pPr>
    <w:rPr>
      <w:b w:val="1"/>
      <w:bCs w:val="1"/>
      <w:i w:val="0"/>
      <w:iCs w:val="0"/>
      <w:color w:val="0b1f3a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