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FC-11 · Dar a pohostenie (ABAC)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IOTA Defence a.s. · IČO: [DOPLNIŤ] · Verzia 1.0 · 6. 10. 2026 · Márian Stančík · Interné – Dôverné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NÁVRH – NIE JE PRÁVNA RADA. NA SCHVÁLENIE PREDSTAVENSTVOM.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Mapovanie:</w:t>
      </w:r>
      <w:r w:rsidDel="00000000" w:rsidR="00000000" w:rsidRPr="00000000">
        <w:rPr>
          <w:rtl w:val="0"/>
        </w:rPr>
        <w:t xml:space="preserve"> GAP FILL · Politika 16 · Register 01 · Limity 3.3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Tok: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 Požiadavka + účastníci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tl w:val="0"/>
        </w:rPr>
        <w:t xml:space="preserve"> ABAC kontrola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rtl w:val="0"/>
        </w:rPr>
        <w:t xml:space="preserve"> Schválenie limitu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4</w:t>
      </w:r>
      <w:r w:rsidDel="00000000" w:rsidR="00000000" w:rsidRPr="00000000">
        <w:rPr>
          <w:rtl w:val="0"/>
        </w:rPr>
        <w:t xml:space="preserve"> Úhrada (nie hotovosť)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rPr>
          <w:rtl w:val="0"/>
        </w:rPr>
        <w:t xml:space="preserve"> Zápis do registra darov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0b1f3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Krok</w:t>
            </w:r>
          </w:p>
        </w:tc>
        <w:tc>
          <w:tcPr>
            <w:shd w:fill="0b1f3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Činnosť</w:t>
            </w:r>
          </w:p>
        </w:tc>
        <w:tc>
          <w:tcPr>
            <w:shd w:fill="0b1f3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Kto</w:t>
            </w:r>
          </w:p>
        </w:tc>
        <w:tc>
          <w:tcPr>
            <w:shd w:fill="0b1f3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Výstup / STOP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Požiadavka + účastníci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Žiadateľ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Formulár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ABAC kontrola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Žiadateľ+CCO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Áno/STOP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Schválenie limitu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Manažér/CCO/Predstavenstvo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E-schválenie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Úhrada (nie hotovosť)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Financie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Doklad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Zápis do registra darov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Žiadateľ/CCO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Zápis</w:t>
            </w:r>
          </w:p>
        </w:tc>
      </w:tr>
    </w:tbl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Rozhodovacie body: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Verejný funkcionár → vždy CCO vopred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Tender/rozhodovanie? STOP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Hotovosť/poukaz? STOP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Sponzoring → Predstavenstvo + DD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IOTA Defence a.s. · 09_Flowcharts · NÁVRH v1.0 · EUR/IČO: [DOPLNIŤ]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