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FC-12 · Konflikt záujmov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0" w:right="0" w:firstLine="0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IOTA Defence a.s. · IČO: [DOPLNIŤ] · Verzia 1.0 · 6. 10. 2026 · Vypracoval: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ind w:left="180" w:right="180" w:firstLine="0"/>
        <w:jc w:val="center"/>
        <w:rPr>
          <w:b w:val="1"/>
          <w:bCs w:val="1"/>
          <w:sz w:val="20"/>
          <w:szCs w:val="20"/>
          <w:shd w:fill="fff3cd" w:val="clear"/>
        </w:rPr>
      </w:pPr>
      <w:r w:rsidDel="00000000" w:rsidR="00000000" w:rsidRPr="00000000">
        <w:rPr>
          <w:b w:val="1"/>
          <w:bCs w:val="1"/>
          <w:sz w:val="20"/>
          <w:szCs w:val="20"/>
          <w:shd w:fill="fff3cd" w:val="clear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rPr>
          <w:color w:val="444444"/>
          <w:sz w:val="18"/>
          <w:szCs w:val="18"/>
        </w:rPr>
      </w:pPr>
      <w:r w:rsidDel="00000000" w:rsidR="00000000" w:rsidRPr="00000000">
        <w:rPr>
          <w:b w:val="1"/>
          <w:bCs w:val="1"/>
          <w:color w:val="444444"/>
          <w:sz w:val="18"/>
          <w:szCs w:val="18"/>
          <w:rtl w:val="0"/>
        </w:rPr>
        <w:t xml:space="preserve">Mapovanie: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 GAP FILL · Politika 21 · Register 02 · Limity kap. 2 a 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ind w:left="210" w:right="210" w:firstLine="0"/>
        <w:rPr>
          <w:color w:val="44444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4f7fb" w:val="clear"/>
        </w:rPr>
      </w:pPr>
      <w:r w:rsidDel="00000000" w:rsidR="00000000" w:rsidRPr="00000000">
        <w:rPr>
          <w:b w:val="1"/>
          <w:bCs w:val="1"/>
          <w:color w:val="0b1f3a"/>
          <w:shd w:fill="f4f7fb" w:val="clear"/>
          <w:rtl w:val="0"/>
        </w:rPr>
        <w:t xml:space="preserve">Identifikácia konfliktu</w:t>
      </w:r>
      <w:r w:rsidDel="00000000" w:rsidR="00000000" w:rsidRPr="00000000">
        <w:rPr>
          <w:shd w:fill="f4f7fb" w:val="clear"/>
          <w:rtl w:val="0"/>
        </w:rPr>
        <w:t xml:space="preserve">Skutočný / potenciálny / zdanlivý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4f7fb" w:val="clear"/>
        </w:rPr>
      </w:pPr>
      <w:r w:rsidDel="00000000" w:rsidR="00000000" w:rsidRPr="00000000">
        <w:rPr>
          <w:b w:val="1"/>
          <w:bCs w:val="1"/>
          <w:color w:val="0b1f3a"/>
          <w:shd w:fill="f4f7fb" w:val="clear"/>
          <w:rtl w:val="0"/>
        </w:rPr>
        <w:t xml:space="preserve">Písomné hlásenie vopred</w:t>
      </w:r>
      <w:r w:rsidDel="00000000" w:rsidR="00000000" w:rsidRPr="00000000">
        <w:rPr>
          <w:shd w:fill="f4f7fb" w:val="clear"/>
          <w:rtl w:val="0"/>
        </w:rPr>
        <w:t xml:space="preserve">Formulár [DOPLNIŤ] · zdržať sa rozhodovania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ff8e6" w:val="clear"/>
        </w:rPr>
      </w:pPr>
      <w:r w:rsidDel="00000000" w:rsidR="00000000" w:rsidRPr="00000000">
        <w:rPr>
          <w:b w:val="1"/>
          <w:bCs w:val="1"/>
          <w:color w:val="0b1f3a"/>
          <w:shd w:fill="fff8e6" w:val="clear"/>
          <w:rtl w:val="0"/>
        </w:rPr>
        <w:t xml:space="preserve">Koho sa týka?</w:t>
      </w:r>
      <w:r w:rsidDel="00000000" w:rsidR="00000000" w:rsidRPr="00000000">
        <w:rPr>
          <w:shd w:fill="fff8e6" w:val="clear"/>
          <w:rtl w:val="0"/>
        </w:rPr>
        <w:t xml:space="preserve">Bežný zamestnanec → CCO · CCO → gestor · Predstavenstvo → Predst. bez neho + predseda DR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50" w:lineRule="auto"/>
        <w:ind w:left="210" w:right="210" w:firstLine="0"/>
        <w:jc w:val="center"/>
        <w:rPr>
          <w:shd w:fill="fff8e6" w:val="clear"/>
        </w:rPr>
      </w:pPr>
      <w:r w:rsidDel="00000000" w:rsidR="00000000" w:rsidRPr="00000000">
        <w:rPr>
          <w:b w:val="1"/>
          <w:bCs w:val="1"/>
          <w:color w:val="0b1f3a"/>
          <w:shd w:fill="fff8e6" w:val="clear"/>
          <w:rtl w:val="0"/>
        </w:rPr>
        <w:t xml:space="preserve">Rozhodnutie CCO ≤ [DOPLNIŤ] dní</w:t>
      </w:r>
      <w:r w:rsidDel="00000000" w:rsidR="00000000" w:rsidRPr="00000000">
        <w:rPr>
          <w:shd w:fill="fff8e6" w:val="clear"/>
          <w:rtl w:val="0"/>
        </w:rPr>
        <w:t xml:space="preserve">(a) bez opatrenia (b) vylúčenie (c) presun (d) 4 oči (e) ukončiť konflikt (f) zamietnuť TX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.0000057220459" w:lineRule="auto"/>
        <w:ind w:left="0" w:right="0" w:firstLine="0"/>
        <w:jc w:val="center"/>
        <w:rPr>
          <w:b w:val="1"/>
          <w:bCs w:val="1"/>
          <w:color w:val="c9a227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9a227"/>
          <w:sz w:val="36"/>
          <w:szCs w:val="36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jc w:val="center"/>
        <w:rPr>
          <w:shd w:fill="e8f5e9" w:val="clear"/>
        </w:rPr>
      </w:pPr>
      <w:r w:rsidDel="00000000" w:rsidR="00000000" w:rsidRPr="00000000">
        <w:rPr>
          <w:b w:val="1"/>
          <w:bCs w:val="1"/>
          <w:color w:val="0b1f3a"/>
          <w:shd w:fill="e8f5e9" w:val="clear"/>
          <w:rtl w:val="0"/>
        </w:rPr>
        <w:t xml:space="preserve">Zápis do registra konfliktov</w:t>
      </w:r>
      <w:r w:rsidDel="00000000" w:rsidR="00000000" w:rsidRPr="00000000">
        <w:rPr>
          <w:shd w:fill="e8f5e9" w:val="clear"/>
          <w:rtl w:val="0"/>
        </w:rPr>
        <w:t xml:space="preserve">+ náhrada schvaľovateľa v workflow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>
          <w:color w:val="0b1f3a"/>
          <w:sz w:val="24"/>
          <w:szCs w:val="24"/>
        </w:rPr>
      </w:pPr>
      <w:r w:rsidDel="00000000" w:rsidR="00000000" w:rsidRPr="00000000">
        <w:rPr>
          <w:color w:val="0b1f3a"/>
          <w:sz w:val="24"/>
          <w:szCs w:val="24"/>
          <w:rtl w:val="0"/>
        </w:rPr>
        <w:t xml:space="preserve">Kroky (tabuľka)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Hlásenie vopred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Osoba / vedúci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Formulár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Posúdenie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CCO (alebo nadriadený orgán)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Rozhodnutie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Opatrenie v procese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Workflow/HR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Náhrada schvaľovateľa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Ročné vyhlásenie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Určené osoby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75.0" w:type="dxa"/>
              <w:left w:w="120.0" w:type="dxa"/>
              <w:bottom w:w="7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100 % evidencia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10" w:lineRule="auto"/>
        <w:ind w:left="600" w:righ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Rozhodovacie body (diamanty):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sz w:val="18"/>
          <w:szCs w:val="18"/>
          <w:rtl w:val="0"/>
        </w:rPr>
        <w:t xml:space="preserve">Zatajený konflikt? → porušenie politiky (aj bez škody)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right="0" w:hanging="360"/>
      </w:pPr>
      <w:r w:rsidDel="00000000" w:rsidR="00000000" w:rsidRPr="00000000">
        <w:rPr>
          <w:sz w:val="18"/>
          <w:szCs w:val="18"/>
          <w:rtl w:val="0"/>
        </w:rPr>
        <w:t xml:space="preserve">Transakcia so spriaznenou osobou? → vždy CCO + Predstavenstvo (ObZ)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0" w:right="0" w:firstLine="0"/>
        <w:rPr>
          <w:color w:val="666666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IOTA Defence a.s. · 09_Flowcharts · NÁVRH v1.0 · 6. 10. 2026 · Limity EUR a 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2744"/>
        <w:sz w:val="22"/>
        <w:szCs w:val="22"/>
      </w:rPr>
    </w:rPrDefault>
    <w:pPrDefault>
      <w:pPr>
        <w:widowControl w:val="0"/>
        <w:spacing w:after="360" w:before="360" w:line="324.0000057220459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Rule="auto"/>
      <w:ind w:left="0" w:right="0" w:firstLine="0"/>
    </w:pPr>
    <w:rPr>
      <w:b w:val="1"/>
      <w:bCs w:val="1"/>
      <w:i w:val="0"/>
      <w:iCs w:val="0"/>
      <w:color w:val="0b1f3a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