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FC-15 · BCP/DR – aktivácia krízového štábu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IOTA Defence a.s. · IČO: [DOPLNIŤ] · Verzia 1.0 · 6. 10. 2026 · Márian Stančík · Interné – Dôverné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Mapovanie:</w:t>
      </w:r>
      <w:r w:rsidDel="00000000" w:rsidR="00000000" w:rsidRPr="00000000">
        <w:rPr>
          <w:rtl w:val="0"/>
        </w:rPr>
        <w:t xml:space="preserve"> GAP FILL · Proces 05_BCP-DR · FC-08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Hlásenie narušenia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Aktivácia krízového štábu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Izolácia / náhradný postup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Obnova podľa priorít (IdP→komunikácia→platby→ERP)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Lessons learned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Krok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Činnosť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Kto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Výstup / STOP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Hlásenie narušenia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Kdokoľvek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Telefón→CISO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Aktivácia krízového štábu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Gestor bezpečnosti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Zvolanie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Izolácia / náhradný postup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CISO/IT/Výroba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Runbook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Obnova podľa priorít (IdP→komunikácia→platby→ERP)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IT+vlastníci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RTO/RPO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Lessons learned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Štáb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Report Predst./DR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Rozhodovacie body: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Utajované? → mimo tohto BCP (Bezp./NBÚ)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Zmena IBAN počas krízy? STOP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IOTA Defence a.s. · 09_Flowcharts · NÁVRH v1.0 · EUR/IČO: [DOPLNIŤ]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