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Technologický stack a prax systému compliance a bezpečnosti – v1.0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Praktický sprievodca k rámcu „Organizačná štruktúra, compliance a bezpečnosť – rámec v1.0“: ako systém funguje v bežnej prevádzke a aké nástroje ho podporujú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Verzia 1.0 | Dátum: 6. 10. 2026 | Vypracoval: Márian Stančík | Klasifikácia dokumentu: Interné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rFonts w:ascii="Arial" w:cs="Arial" w:eastAsia="Arial" w:hAnsi="Arial"/>
          <w:color w:val="0000ee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Nadväzuje na dokument: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0"/>
            <w:szCs w:val="20"/>
            <w:u w:val="single"/>
            <w:rtl w:val="0"/>
          </w:rPr>
          <w:t xml:space="preserve">Organizačná štruktúra, compliance a bezpečnosť – rámec v1.0 (2026-10-06)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de9d9" w:val="clear"/>
            <w:tcMar>
              <w:top w:w="210.0" w:type="dxa"/>
              <w:left w:w="210.0" w:type="dxa"/>
              <w:bottom w:w="210.0" w:type="dxa"/>
              <w:right w:w="21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NÁVRH – NIE JE PRÁVNA RADA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lineRule="auto"/>
              <w:jc w:val="both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Tento dokument je praktický metodický podklad a nie je právnym, bezpečnostným ani obstarávacím poradenstvom. Uvedené produkty a služby sú len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príklady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bez odporúčania konkrétneho dodávateľa a bez uvedenia cien; ich výber, zmluvné podmienky, umiestnenie dát a súlad s predpismi je potrebné overiť (advokát, bezpečnostný poradca, pri utajovaných skutočnostiach Národný bezpečnostný úrad – NBÚ). Právne predpisy sa uvádzajú v znení neskorších predpisov. Rozhodujúce sú role, politiky a lehoty stanovené v nadväzujúcom rámci a v interných predpisoch.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0. Účel dokumentu a vzťah k rámcu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Rámec v1.0 určuje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kto</w:t>
      </w:r>
      <w:r w:rsidDel="00000000" w:rsidR="00000000" w:rsidRPr="00000000">
        <w:rPr>
          <w:rFonts w:ascii="Arial" w:cs="Arial" w:eastAsia="Arial" w:hAnsi="Arial"/>
          <w:rtl w:val="0"/>
        </w:rPr>
        <w:t xml:space="preserve"> za čo zodpovedá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aké pravidlá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platia (organizačná štruktúra, RACI, politiky, kontroly, incidenty, roadmapa). Tento dokument dopĺňa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ako</w:t>
      </w:r>
      <w:r w:rsidDel="00000000" w:rsidR="00000000" w:rsidRPr="00000000">
        <w:rPr>
          <w:rFonts w:ascii="Arial" w:cs="Arial" w:eastAsia="Arial" w:hAnsi="Arial"/>
          <w:rtl w:val="0"/>
        </w:rPr>
        <w:t xml:space="preserve"> to funguje v praxi: životný cyklus obchodného partnera, rozdelenie línií ochrany, dátové zóny a minimálny a cieľový technologický stack. Platí zásada: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najprv proces a zodpovednosť, potom nástroj</w:t>
      </w:r>
      <w:r w:rsidDel="00000000" w:rsidR="00000000" w:rsidRPr="00000000">
        <w:rPr>
          <w:rFonts w:ascii="Arial" w:cs="Arial" w:eastAsia="Arial" w:hAnsi="Arial"/>
          <w:rtl w:val="0"/>
        </w:rPr>
        <w:t xml:space="preserve">. Nástroj nesmie nahradiť rozhodnutie zodpovednej osoby, má ho iba zaznamenať, uľahčiť a urobiť preukázateľným (audit trail).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Tri základné princípy celého stacku: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Jeden zdroj pravdy o partneroch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každý agent, distribútor, subdodávateľ a konzorciálny partner má jedno ID v registri partnerov; CRM, ERP, zmluvy aj platby sa naň odkazujú.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Žiadna platba ani prístup bez platného stavu v registri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ak due diligence alebo re-previerka nie je platná, systém (alebo aspoň kontrolný postup) platbu, podpis či prístup zastaví.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Utajované skutočnosti sú mimo bežného IT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oddelené, certifikované prostredie bez pripojenia k internetu a bez bežného cloudu; bežné nástroje v tomto dokumente sa na utajované informácie nepoužívajú.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Ako si to predstaviť v praxi – životný cyklus agenta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1.1 Tok krokov (od nového agenta po ročnú re-previerku)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Nový agent (iniciácia)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obchodník zapíše návrh nového agenta do registra partnerov (formulár): krajina, účel spolupráce, očakávaná provízia, kontakt s verejným sektorom. Bez zápisu sa nesmie začať rokovať o podmienkach.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Due diligence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CCO (alebo poverený analytik) vykoná sankčný screening subjektu, štatutárov a konečného užívateľa výhod (KUV), rešerš negatívnych správ, rizikové skórovanie krajiny a sektora a vyhodnotí red flags podľa Prílohy A rámca. Export Control Officer posúdi produkty a krajiny. Výstup: schválené / schválené s podmienkami / zamietnuté.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Zmluva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Legal pripraví agentskú zmluvu so štandardnými compliance doložkami a plnou mocou s presným rozsahom; podpis kvalifikovaným elektronickým podpisom (eIDAS). Podpísaná zmluva a plná moc sa ukladajú do archívu a ich limity sa zapíšu do CRM.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Onboarding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ABAC školenie agenta v LMS s testom, podpis vyhlásení (ABAC, konflikt záujmov), založenie partnera v ERP s overeným IBAN (zámok IBAN), prípadne obmedzený prístup do partnerského portálu s MFA.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Platba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faktúra a dôkaz o výkone sa spárujú s CRM (obchodný prípad) a zmluvou; platbu zadáva Financie, schvaľuje iná osoba (štyri oči), nad limit aj CCO. Platba ide len na zamknutý IBAN na meno agenta.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Ročná re-previerka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systém (alebo kalendár v registri) 30 dní vopred upozorní vlastníka vzťahu; aktualizuje sa screening, KUV, ABAC certifikát, školenie a preskúmanie výkonu a provízií. Bez obnovenia sa partner automaticky označí ako „blokovaný pre platby“.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1.2 Diagram toku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1. Nový agent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Obchod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Register partnerov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 Due diligence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CCO + Export Control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Screening, skóre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3. Zmluva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e-podpis, plná moc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6. Ročná re-previerka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Vlastník vzťahu + CCO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Pripomienka, nový screening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5. Platba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 (4 oči)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ERP, zamknutý IBAN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4. Onboarding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CCO + CISO + Financie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LMS, ERP, MFA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Ak re-previerka nie je včas dokončená alebo sa zistí red flag: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STOP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– blokácia platieb, pozastavenie plnej moci, eskalácia CCO → štatutár.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 Krok – zodpovednosť – nástroj – dôkaz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 vykonáva (R)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 schvaľuje (A)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Nástroj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Dôkaz pre audit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 Nový agent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Obchodník (vlastník vzťahu)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Vedúci Obchodu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 (formulár)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Záznam žiadosti s dátumom a odôvodnením potreby agenta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2. Due diligence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 / analytik, Export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 (pri vysokom riziku aj štatutár)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partnerov, sankčný screening, verejné registre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Výsledky screeningu (dátum, zoznamy), DD dotazník, rizikové skóre, záver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3. Zmluva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Štatutár (podľa podpisového poriadku)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Šablóny zmlúv, e-podpis, archív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Podpísaná zmluva a plná moc s rozsahom a dobou platnosti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4. Onboarding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CCO, CISO / IT, 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Vlastník vzťahu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LMS, ERP, IAM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Certifikát školenia, vyhlásenia, záznam o overení IBAN, pridelené prístupy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5. Platba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 (zadávateľ)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 (schvaľovateľ), nad limit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ERP, internetbanking s dvojitým schválením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Faktúra, dôkaz o výkone, záznam o schválení dvoma osobami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6. Re-previerka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Vlastník vzťahu,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 (pripomienky), screening, 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Aktualizovaný DD záznam, ročný ABAC certifikát agenta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1.4 Jeden bežný týždeň – ako to vyzerá v kalendári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Čo sa deje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Nástroj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Pondelok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Obchodník zadá návrh nového agenta pre nový trh; automatický (alebo manuálny) sankčný screening sa spustí ešte v ten deň.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Obchod,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partnerov, sankčný screening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Utorok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Kontrola dávkového re-screeningu všetkých aktívnych partnerov po aktualizácii sankčných zoznamov; vyhodnotenie prípadných zhôd (false positive / true match).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Sankčný screening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Streda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Platobný deň: Financie pripraví dávku platieb, schvaľovateľ kontroluje párovanie faktúra – zmluva – výkon, provízia nad limit ide na CCO.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ERP, internetbanking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Štvrtok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Podpis agentskej zmluvy e-podpisom; nastavenie limitov plnej moci v CRM; zadanie ABAC školenia v LMS.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Legal, Obchod,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E-podpis, CRM, LMS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Piatok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Týždenný prehľad: otvorené incidenty a podnety, nesplnené školenia, blížiace sa re-previerky, zmeny prístupov (on/offboarding). Krátky report štatutárovi.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CCO, CISO, Bezpečnostný manažér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Ticketing, LMS, IAM, register partnerov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Schéma troch línií ochrany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88.8"/>
        <w:gridCol w:w="3182.4"/>
        <w:gridCol w:w="3088.8"/>
        <w:tblGridChange w:id="0">
          <w:tblGrid>
            <w:gridCol w:w="3088.8"/>
            <w:gridCol w:w="3182.4"/>
            <w:gridCol w:w="3088.8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Štatutárny orgán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(zodpovednosť, tone from the top)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Dozorná rada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(dohľad)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1. línia – vlastníci rizika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Obchod, Nákup, Výroba, 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2. línia – metodika a dohľad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CCO, Bezpečnostný manažér, CISO, Export Control Officer, Legal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3. línia – nezávislé uistenie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Interný audit (reportuje DR)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Čo robí: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vykonáva kontroly v každodennej práci – zápis partnera, register darov, štyri oči pri platbách, need-to-know vo výrobe.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Čo robí: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nastavuje pravidlá a nástroje, schvaľuje rizikové prípady, robí screening, školí, monitoruje a eskaluje.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Čo robí: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testuje vzorky (platby agentom, dary, prístupy, evidenciu utajovaných), hodnotí dizajn a účinnosť kontrol.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Hlavné nástroje: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CRM, ERP, register darov a stretnutí, formuláre registra partnerov.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Hlavné nástroje: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register partnerov a DD, sankčný screening, LMS, whistleblowing, IAM, EDR/SIEM, ticketing.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Hlavné nástroje: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čítací prístup do všetkých registrov a logov, exporty z ERP, audit trail e-podpisu a IAM.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 hlási výnimky a incidenty 2. línii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→ reportuje štatutárovi, priamy prístup k DR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→ reportuje dozornej rade</w:t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Praktické pravidlo pre nástroje:</w:t>
      </w:r>
      <w:r w:rsidDel="00000000" w:rsidR="00000000" w:rsidRPr="00000000">
        <w:rPr>
          <w:rFonts w:ascii="Arial" w:cs="Arial" w:eastAsia="Arial" w:hAnsi="Arial"/>
          <w:rtl w:val="0"/>
        </w:rPr>
        <w:t xml:space="preserve"> 1. línia dáta zapisuje, 2. línia pravidlá konfiguruje a výnimky schvaľuje, 3. línia má iba čítací prístup. Nikto z 1. línie nesmie mať administrátorské práva k nástrojom 2. línie (napr. obchodník nesmie meniť výsledok screeningu ani limity plnej moci).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Schéma dátových zón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59.2"/>
        <w:gridCol w:w="2574"/>
        <w:gridCol w:w="2152.8"/>
        <w:gridCol w:w="2574"/>
        <w:gridCol w:w="1"/>
        <w:tblGridChange w:id="0">
          <w:tblGrid>
            <w:gridCol w:w="2059.2"/>
            <w:gridCol w:w="2574"/>
            <w:gridCol w:w="2152.8"/>
            <w:gridCol w:w="2574"/>
            <w:gridCol w:w="1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BEŽNÉ IT PROSTREDIE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(firemný tenant M365 / Google Workspace, ERP, CRM, cloud s dátami v EÚ)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00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ODDELENÉ PROSTREDIE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2efd9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VEREJNÉ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web, katalógy, tlačové správy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be5f1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INTERNÉ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interné predpisy, bežná komunikácia, plány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2cc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DÔVERNÉ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zmluvy, ceny, DD spisy, osobné údaje, technická dokumentácia, podnety whistleblowerov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cccc" w:val="clear"/>
            <w:tcMar>
              <w:top w:w="170.0" w:type="dxa"/>
              <w:left w:w="170.0" w:type="dxa"/>
              <w:bottom w:w="170.0" w:type="dxa"/>
              <w:right w:w="1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UTAJOVANÉ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(zákon č. 215/2004 Z. z.)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len certifikované technické prostriedky, bez internetu, nie bežný cloud, evidencia a registratúra utajovaných písomností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Zóna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Kde sa ukladá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 má prístup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Minimálne technické opatrenia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Zakázané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Verejné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Web, verejné úložisko marketingu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Ktokoľvek; publikuje schválená osoba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Schvaľovací proces pred zverejnením (kontrola exportne citlivých technických údajov)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Zverejňovať technické parametre bez posúdenia Export Control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Interné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Firemný tenant (zdieľané disky / SharePoint), intranet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Zamestnanci a oprávnení externí s firemným účtom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Firemné účty, MFA, spravované zariadenia, zákaz zdieľania mimo organizácie bez dôvodu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Súkromné účty a súkromné cloudové úložiská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Dôverné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Vyhradené priečinky / knižnice s obmedzeným prístupom, ERP, CRM, register partnerov, whistleblowing platforma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Len podľa role a need-to-know; schvaľuje vlastník dát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Označovanie (citlivostné štítky), šifrovanie, obmedzenie sťahovania a externého zdieľania, logovanie prístupu, DLP podľa možností; pri prenose mimo EÚ posúdenie podľa GDPR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Posielanie na súkromné e-maily, neriadené USB, zdieľanie odkazom „ktokoľvek s odkazom“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Utajované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Výlučne oddelené prostredie schválené/certifikované podľa požiadaviek NBÚ; fyzicky zabezpečené priestory; registratúra utajovaných písomností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Len osoby s platnou bezpečnostnou previerkou príslušného stupňa, poučením a need-to-know; určuje Bezpečnostný manažér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Fyzická, personálna, administratívna a objektová bezpečnosť, certifikované technické prostriedky, kryptografická ochrana, evidencia nosičov; detailné opatrenia určuje bezpečnostná dokumentácia schválená NBÚ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Akýkoľvek bežný cloud, e-mail, CRM, ticketing, AI nástroje, súkromné zariadenia a prenos do bežnej siete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Technologický stack podľa vrstiev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 každú vrstvu sa uvádza minimálne riešenie, ktoré je možné zaviesť do troch mesiacov s existujúcimi nástrojmi, a cieľové riešenie na 9–18 mesiacov. Názvy produktov sú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príklady</w:t>
      </w:r>
      <w:r w:rsidDel="00000000" w:rsidR="00000000" w:rsidRPr="00000000">
        <w:rPr>
          <w:rFonts w:ascii="Arial" w:cs="Arial" w:eastAsia="Arial" w:hAnsi="Arial"/>
          <w:rtl w:val="0"/>
        </w:rPr>
        <w:t xml:space="preserve"> na porovnanie, nie odporúčanie; ceny sa zámerne neuvádzajú a je potrebné ich získať priamo od dodávateľov. Pri každom cloudovom nástroji sa overí umiestnenie dát (preferovane EÚ), zmluva o spracúvaní osobných údajov (čl. 28 GDPR), MFA/SSO, export dát a audit log.</w:t>
      </w:r>
    </w:p>
    <w:p w:rsidR="00000000" w:rsidDel="00000000" w:rsidP="00000000" w:rsidRDefault="00000000" w:rsidRPr="00000000" w14:paraId="000000B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Tretie strany a zmluvy</w:t>
      </w:r>
    </w:p>
    <w:tbl>
      <w:tblPr>
        <w:tblStyle w:val="Table8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10.3999999999999"/>
        <w:gridCol w:w="1684.8"/>
        <w:gridCol w:w="2152.8"/>
        <w:gridCol w:w="2152.8"/>
        <w:gridCol w:w="2059.2"/>
        <w:tblGridChange w:id="0">
          <w:tblGrid>
            <w:gridCol w:w="1310.3999999999999"/>
            <w:gridCol w:w="1684.8"/>
            <w:gridCol w:w="2152.8"/>
            <w:gridCol w:w="2152.8"/>
            <w:gridCol w:w="2059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Vrstva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Minimálne riešenie (0–3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Cieľové riešenie (9–18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 SK/EÚ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Register partnerov + due diligence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Jeden zdroj pravdy o agentoch, distribútoroch, subdodávateľoch a partneroch v konzorciách; stav DD, riziko, vlastník vzťahu, termín re-previerky.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Google Sheets / Excel so zamknutými stĺpcami, formulár (Google Forms / Microsoft Forms) na zadanie partnera, priečinok DD spisov v zóne Dôverné, pravidlo „bez ID partnera žiadna zmluva ani platba“.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Špecializovaná platforma na riadenie rizík tretích strán (TPRM/GRC modul) s workflow schvaľovania, dotazníkmi pre partnerov, pripomienkami re-previerky a integráciou na CRM a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Zdroje: obchodný register SR (ORSR), register konečných užívateľov výhod a register partnerov verejného sektora (RPVS, zákon č. 315/2016 Z. z.), komerčné databázy (napr. FinStat); KUV podľa zákona č. 297/2008 Z. 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Sankčný screening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Kontrola partnera, štatutárov, KUV a strán transakcie voči sankčným zoznamom; pri novom partnerovi aj priebežne.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Manuálne vyhľadávanie v konsolidovanom zozname finančných sankcií EÚ a v otvorenej databáze OpenSanctions; zápis dátumu, rozsahu a výsledku do registra; pri zhode eskalácia na CCO a Export Control.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Automatizovaný screening (napr. OpenSanctions API alebo komerčná screeningová služba) s dávkovým re-screeningom celej databázy pri zmene zoznamov a s auditovateľným záznamom vyhodnotenia zhôd.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Reštriktívne opatrenia EÚ a zákon č. 289/2016 Z. z.; podľa väzieb aj zoznamy OSN, UK a USA (OFAC). Sankcie zahŕňajú aj nepriame vlastníctvo a kontrolu – sledovať KUV a štruktúru.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Zmluvy + e-podpis (eIDAS)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Štandardné šablóny s compliance doložkami, podpis, evidencia platnosti a plných mocí.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Schválené šablóny v zdieľanom priečinku (len na čítanie), register zmlúv v tabuľke (strany, platnosť, limity, plná moc), kvalifikovaný elektronický podpis cez občiansky preukaz s čipom (eID) alebo kvalifikovaný certifikát (napr. Disig).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Systém správy zmlúv (CLM) s workflow schvaľovania podľa podpisového poriadku, upozorneniami na koniec platnosti, integráciou na CRM a kvalifikovaným e-podpisom / pečaťou; podpisovanie s overením podpisu a dlhodobou platnosťou.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Nariadenie (EÚ) č. 910/2014 (eIDAS) v znení nariadenia (EÚ) 2024/1183 a zákon č. 272/2016 Z. z. o dôveryhodných službách. Kvalifikovaný podpis má účinky vlastnoručného podpisu; pri zahraničných partneroch overiť akceptáciu podpisu v danej krajine.</w:t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Integrita, etika a školenia</w:t>
      </w:r>
    </w:p>
    <w:tbl>
      <w:tblPr>
        <w:tblStyle w:val="Table9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10.3999999999999"/>
        <w:gridCol w:w="1684.8"/>
        <w:gridCol w:w="2152.8"/>
        <w:gridCol w:w="2152.8"/>
        <w:gridCol w:w="2059.2"/>
        <w:tblGridChange w:id="0">
          <w:tblGrid>
            <w:gridCol w:w="1310.3999999999999"/>
            <w:gridCol w:w="1684.8"/>
            <w:gridCol w:w="2152.8"/>
            <w:gridCol w:w="2152.8"/>
            <w:gridCol w:w="2059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Vrstva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Minimálne riešenie (0–3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Cieľové riešenie (9–18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 SK/EÚ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Whistleblowing (zákon č. 54/2019 Z. z.)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Bezpečný (aj anonymný) kanál na podávanie podnetov, evidencia a preverovanie, dôvernosť identity oznamovateľa.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Vyhradená e-mailová schránka a telefonická linka prístupná len zodpovednej osobe (CCO), možnosť osobného stretnutia, evidencia podnetov v zóne Dôverné; zverejnené pravidlá vnútorného systému.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Webová whistleblowing platforma s anonymnou obojsmernou komunikáciou a správou prípadov (napr. WhistleLink, EQS Integrity Line alebo iný poskytovateľ so serverom v EÚ, ktorý preukáže súlad so slovenskou úpravou).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Zákon č. 54/2019 Z. z. – vnútorný systém, zodpovedná osoba, zákonné lehoty a dôvernosť; Úrad na ochranu oznamovateľov. Prístup IT administrátorov k obsahu podnetov musí byť vylúčený alebo zmluvne a technicky obmedzený.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LMS – školenia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Priradenie povinných školení podľa role, testy, certifikáty, evidencia pre audit.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Prezentácie a videá v internom úložisku + test cez Google Forms / Microsoft Forms; evidencia absolvovania v tabuľke; pre agentov zaslanie materiálov a podpísané potvrdenie.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LMS (napr. Moodle, TalentLMS alebo modul HR systému) s automatickým priraďovaním podľa role z IAM, pripomienkami, testami a reportmi; prístup aj pre externých agentov.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Obsah podľa rámca: kódex, ABAC, informačná bezpečnosť, GDPR, exportná kontrola; osobitné poučenia pre utajované skutočnosti vedie Bezpečnostný manažér mimo bežného LMS.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Register darov a stretnutí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Evidencia poskytnutých a prijatých darov a pohostení, stretnutí s verejnými funkcionármi, schvaľovanie nad limit.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Formulár (Google Forms / Microsoft Forms) zapisujúci do chránenej tabuľky; e-mailové schválenie CCO pri verejných funkcionároch a nad limit; mesačná kontrola CCO.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Modul registra darov a konfliktov záujmov v compliance/GRC platforme s workflow schvaľovania, prepojením na výdavky v ERP (cestovné náhrady, reprezentačné).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Limity stanovuje interný predpis (nie tento dokument). Pri verejných zákazkách a štátnych zákazníkoch zvýšená opatrnosť; register slúži aj ako dôkaz pre zákon č. 91/2016 Z. z.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 Obchod a financie</w:t>
      </w:r>
    </w:p>
    <w:tbl>
      <w:tblPr>
        <w:tblStyle w:val="Table10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10.3999999999999"/>
        <w:gridCol w:w="1684.8"/>
        <w:gridCol w:w="2152.8"/>
        <w:gridCol w:w="2152.8"/>
        <w:gridCol w:w="2059.2"/>
        <w:tblGridChange w:id="0">
          <w:tblGrid>
            <w:gridCol w:w="1310.3999999999999"/>
            <w:gridCol w:w="1684.8"/>
            <w:gridCol w:w="2152.8"/>
            <w:gridCol w:w="2152.8"/>
            <w:gridCol w:w="2059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Vrstva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Minimálne riešenie (0–3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Cieľové riešenie (9–18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 SK/EÚ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CRM + limity plných mocí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Obchodné prípady, kontakty s verejným sektorom, väzba na agenta a jeho oprávnenia (úkony, suma, krajiny, platnosť).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Existujúce CRM alebo tabuľka obchodných prípadov s povinným ID partnera; v profile agenta polia „rozsah plnej moci“, „finančný limit“, „územie“, „platnosť do“.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CRM (napr. HubSpot, Pipedrive) s vlastnými poľami a validáciou: ponuka nad limit alebo mimo územia vyžaduje schválenie; blokácia prípadu, ak DD partnera nie je platná; synchronizácia s registrom partnerov.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Osobné údaje kontaktov podľa GDPR (právny základ, doba uchovávania). Ponuky do štátnych tendrov podáva spoločnosť, nie agent bez osobitného splnomocnenia.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ERP / účtovníctvo + 4 oči + IBAN 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Párovanie faktúr so zmluvou a výkonom, oddelenie zadania a schválenia platby, ochrana proti podvodnej zmene bankového účtu.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Súčasný účtovný systém (napr. Pohoda, Money S3); dvojité schválenie platieb v internetbankingu (dve rôzne osoby); zmena IBAN len na základe formulára a spätného telefonického overenia na známom kontakte, zapísaného do registra.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 (napr. SAP Business One alebo vyššia verzia existujúceho systému) so schvaľovacím workflow podľa limitov, zamknutým kmeňovým záznamom bankového účtu (zmena len cez rolu Financie + schválenie inou osobou), blokáciou platby partnerovi bez platnej DD a reportom provízií agentov.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Zákon č. 431/2002 Z. z. o účtovníctve (preukázateľnosť, archivácia); pri platbách do tretích krajín sankčná kontrola banky nenahrádza vlastnú kontrolu. Úplné zákazy platieb v hotovosti a tretím stranám podľa rámca.</w:t>
            </w:r>
          </w:p>
        </w:tc>
      </w:tr>
    </w:tbl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4.4 Identity a IT bezpečnosť</w:t>
      </w:r>
    </w:p>
    <w:tbl>
      <w:tblPr>
        <w:tblStyle w:val="Table11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10.3999999999999"/>
        <w:gridCol w:w="1684.8"/>
        <w:gridCol w:w="2152.8"/>
        <w:gridCol w:w="2152.8"/>
        <w:gridCol w:w="2059.2"/>
        <w:tblGridChange w:id="0">
          <w:tblGrid>
            <w:gridCol w:w="1310.3999999999999"/>
            <w:gridCol w:w="1684.8"/>
            <w:gridCol w:w="2152.8"/>
            <w:gridCol w:w="2152.8"/>
            <w:gridCol w:w="2059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Vrstva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Minimálne riešenie (0–3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Cieľové riešenie (9–18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 SK/EÚ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IAM / MFA / on-offboarding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Jedna firemná identita na osobu, MFA, prístupy podľa role, odobratie prístupov v deň odchodu.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Microsoft Entra ID alebo Google Workspace ako jediný adresár; povinné MFA pre všetkých (aj externých); zoznam aplikácií a ich vlastníkov; checklist on/offboardingu z Prílohy B rámca s podpisom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SSO do všetkých aplikácií (CRM, ERP, LMS, ticketing), podmienený prístup (len spravované zariadenia, rizikové prihlásenia), skupiny podľa rolí, automatický on/offboarding na základe udalosti v HR, pravidelná recertifikácia prístupov, správa privilegovaných účtov.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NIS2 vyžaduje riadenie prístupov a viacfaktorovú autentifikáciu ako súčasť opatrení; utajované prostredie má samostatnú správu identít mimo firemného adresára.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IT bezpečnosť NIS2 (EDR, zálohy, SIEM)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Ochrana koncových zariadení, obnova po incidente, centrálny záznam a vyhodnocovanie bezpečnostných udalostí.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EDR na všetkých zariadeniach (napr. Microsoft Defender for Business / Microsoft 365 Defender), správa zariadení a aktualizácií, zálohy podľa pravidla 3-2-1 s jednou offline / nemennou kópiou a otestovanou obnovou, centrálne logovanie v rámci tenantu.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SIEM/SOC (napr. Microsoft Sentinel, open-source Wazuh alebo externá SOC služba) s 24/7 monitoringom alebo dohodnutou pohotovosťou, správa zraniteľností, bezpečnosť dodávateľov IKT, ISMS podľa ISO/IEC 27001.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Zákon č. 69/2018 Z. z. o kybernetickej bezpečnosti a smernica (EÚ) 2022/2555 (NIS2) – najprv posúdiť, či spoločnosť spadá do pôsobnosti; hlásenie incidentov podľa kapitoly 7 rámca (24 h / 72 h / 1 mesiac).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Prostredie pre utajované (NBÚ)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Spracúvanie a uchovávanie utajovaných skutočností oddelene od bežného 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Kým nie je prostredie certifikované: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žiadne elektronické spracúvanie utajovaných informácií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; len postupy schválené Bezpečnostným manažérom (listinná forma, zabezpečené uloženie, registratúra), konzultácia s NBÚ.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Oddelené (air-gapped) pracovisko s technickými prostriedkami certifikovanými/schválenými podľa požiadaviek NBÚ, v zabezpečenom priestore, s bezpečnostnou dokumentáciou, evidenciou nosičov a kryptografickou ochranou podľa stupňa utajenia; nadväzne bezpečnostná previerka podnikateľa.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Zákon č. 215/2004 Z. z. a vykonávacie predpisy; požiadavky NATO/EÚ pri ich utajovaných informáciách. Riešenie sa navrhuje s bezpečnostným poradcom; konkrétne produkty tento dokument neuvádza.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4.5 Prevádzka, komunikácia so štátom a archív</w:t>
      </w:r>
    </w:p>
    <w:tbl>
      <w:tblPr>
        <w:tblStyle w:val="Table12"/>
        <w:tblW w:w="9359.999999999998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10.3999999999999"/>
        <w:gridCol w:w="1684.8"/>
        <w:gridCol w:w="2152.8"/>
        <w:gridCol w:w="2152.8"/>
        <w:gridCol w:w="2059.2"/>
        <w:tblGridChange w:id="0">
          <w:tblGrid>
            <w:gridCol w:w="1310.3999999999999"/>
            <w:gridCol w:w="1684.8"/>
            <w:gridCol w:w="2152.8"/>
            <w:gridCol w:w="2152.8"/>
            <w:gridCol w:w="2059.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Vrstva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Minimálne riešenie (0–3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Cieľové riešenie (9–18 mes.)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Poznámka SK/EÚ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Incident / ticketing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Jednotné prijatie, evidencia a riešenie incidentov (kybernetických, únikov osobných údajov, compliance podozrení) s časovou stopou pre zákonné lehoty.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Zdieľaná schránka „incident@“ (s obmedzeným prístupom) + tabuľka incidentov s časom zistenia, typom, vlastníkom a stavom hlásenia; jednostranové playbooky.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Ticketing (napr. Jira Service Management, Freshservice) s kategóriami podľa kapitoly 7 rámca, časovačmi pre lehoty hlásení, oddelenými projektmi s obmedzeným prístupom (compliance prípady nevidí bežné IT).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Lehoty: NIS2 (24 h / 72 h / 1 mesiac), GDPR (72 h). Podnety whistleblowerov sa v bežnom ticketingu neevidujú. Utajované incidenty len mimo bežných systémov.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eSchránka + archív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Prijímanie úradných rozhodnutí a doručovanie štátu, dlhodobé uchovávanie zmlúv, DD spisov a záznamov pre audit.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Elektronická schránka právnickej osoby na slovensko.sk s určenými oprávnenými osobami a zástupcami, notifikáciami a denným kontrolným režimom; archívne priečinky s retenciou a obmedzeným mazaním.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Registratúrny/DMS systém s registratúrnym plánom, retenčnými pravidlami, integráciou na eSchránku a e-podpis, uchovávaním kvalifikovaných podpisov s dlhodobou overiteľnosťou (služba uchovávania podľa eIDAS).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Zákon č. 305/2013 Z. z. o e-Governmente (aktivovaná schránka – doručovanie s právnymi účinkami); zákon č. 395/2002 Z. z. o archívoch a registratúrach (ak sa uplatní); lehoty uchovávania podľa zákona o účtovníctve, daňových predpisov a interného registratúrneho poriadku.</w:t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4.6 Integrácie – minimálny tok dát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Zdroj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Cieľ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Čo sa prenáša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Účel kontroly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CRM, ERP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ID partnera, stav DD (platná / blokovaná), dátum re-previerky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Žiadna ponuka nad limit ani platba bez platnej DD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Sankčný screening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Výsledok a dátum screeningu, nové zhody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Okamžitá blokácia pri zhode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Zmluvy / e-podpis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CRM, archív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Rozsah plnej moci, finančný limit, platnosť zmluvy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Agent koná len v rozsahu splnomocnenia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HR / IAM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Všetky aplikácie, LMS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Nástup, zmena role, odchod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Prístupy a školenia podľa role; odobratie prístupov v deň odchodu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EDR, IAM, aplikácie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SIEM, ticketing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Bezpečnostné udalosti a výstrahy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Detekcia a dodržanie lehôt hlásenia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RACI-lite – kto používa ktorý nástroj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Legenda: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vlastník nástroja (konfigurácia, pravidlá, kvalita dát, prístupy);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aktívne používa a zapisuje;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konzultovaný alebo schvaľuje vo workflow;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len čítanie / reporty. Prázdne pole znamená bez prístupu. Interný audit má čítací prístup (I) ku všetkým nástrojom okrem obsahu podnetov whistleblowerov a utajovaného prostredia (tam len podľa osobitných pravidiel).</w:t>
      </w:r>
    </w:p>
    <w:tbl>
      <w:tblPr>
        <w:tblStyle w:val="Table14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Nástroj / vrstva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Bezp. manažér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Obchod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 + 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Sankčný screening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Zmluvy + e-podpis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Whistleblowing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LMS – školenia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darov a stretnutí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CRM + limity plných mocí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 + 4 oči + IBAN lock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IAM / MFA / on-offboarding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IT bezpečnosť NIS2 (EDR, zálohy, SIEM)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Prostredie pre utajované (NBÚ)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Incident / ticketing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eSchránka + archív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Poznámka: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Konkrétnu osobu s prístupom do utajovaného prostredia určuje Bezpečnostný manažér podľa previerky a need-to-know – nie podľa funkcie. Pri eSchránke sa odporúča určiť aspoň dve oprávnené osoby (zastupovanie) a denne kontrolovať doručené správy.</w:t>
      </w:r>
    </w:p>
    <w:p w:rsidR="00000000" w:rsidDel="00000000" w:rsidP="00000000" w:rsidRDefault="00000000" w:rsidRPr="00000000" w14:paraId="000001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Fázový plán zavedenia (checklist)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88.8"/>
        <w:gridCol w:w="3088.8"/>
        <w:gridCol w:w="3182.4"/>
        <w:tblGridChange w:id="0">
          <w:tblGrid>
            <w:gridCol w:w="3088.8"/>
            <w:gridCol w:w="3088.8"/>
            <w:gridCol w:w="3182.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Fáza 1: 0–3 mesiace (minimum, rýchle kontroly)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Fáza 2: 3–9 mesiacov (zavedenie a prepojenie)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Fáza 3: 9–18 mesiacov (cieľový stav a overenie)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Register partnerov v tabuľke + formulár; inventúra všetkých agentov a partnerov</w:t>
            </w:r>
          </w:p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Sankčný screening všetkých existujúcich partnerov a zápis výsledkov</w:t>
            </w:r>
          </w:p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Dvojité schválenie platieb v internetbankingu; postup overenia zmeny IBAN</w:t>
            </w:r>
          </w:p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Povinné MFA pre všetky účty; jediný firemný adresár (Entra ID / Google Workspace)</w:t>
            </w:r>
          </w:p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EDR na všetkých zariadeniach; zálohy 3-2-1 s offline kópiou a test obnovy</w:t>
            </w:r>
          </w:p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Whistleblowing kanál (schránka + linka) a zverejnené pravidlá</w:t>
            </w:r>
          </w:p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Register darov a stretnutí (formulár)</w:t>
            </w:r>
          </w:p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Schválené šablóny zmlúv a kvalifikovaný e-podpis pre štatutárov</w:t>
            </w:r>
          </w:p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Kontrola nastavenia eSchránky, oprávnených osôb a notifikácií</w:t>
            </w:r>
          </w:p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Tabuľka incidentov a jednostranové playbooky</w:t>
            </w:r>
          </w:p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Pravidlo: žiadne utajované informácie v bežnom IT; konzultácia s NBÚ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Výber a zavedenie CRM s poľami plných mocí a väzbou na ID partnera</w:t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Re-kontraktácia agentov s doložkami a presnými plnými mocami (e-podpis)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LMS a prvé ročné školenia s testom (aj pre agentov)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SSO pre kľúčové aplikácie; recertifikácia prístupov</w:t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Ticketing s kategóriami a časovačmi lehôt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Výber whistleblowing platformy a migrácia evidencie</w:t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ERP workflow schvaľovania a zamknutý kmeňový záznam IBAN</w:t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Posúdenie pôsobnosti NIS2 a zavedenie ISMS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Návrh oddeleného utajovaného prostredia s bezpečnostným poradcom</w:t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Pravidlá retencie v archíve a registratúrny plán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Platforma TPRM/GRC s workflow DD a automatickými pripomienkami re-previerky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Automatizovaný sankčný screening s dávkovým re-screeningom</w:t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☐ Integrácie register partnerov ↔ CRM ↔ ERP (blokácia bez platnej DD)</w:t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SIEM / SOC služba a správa zraniteľností</w:t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Automatický on/offboarding z HR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Certifikované utajované prostredie a bezpečnostná previerka podnikateľa (NBÚ)</w:t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DMS / registratúra s integráciou na eSchránku a e-podpis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Interný audit nástrojov a kontrol; cvičenie incident response</w:t>
            </w:r>
          </w:p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Podklady pre certifikácie ISO/IEC 27001 a ISO 37001</w:t>
            </w:r>
          </w:p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☐ Revízia stacku a dokumentu na verziu 2.0</w:t>
            </w:r>
          </w:p>
        </w:tc>
      </w:tr>
    </w:tbl>
    <w:p w:rsidR="00000000" w:rsidDel="00000000" w:rsidP="00000000" w:rsidRDefault="00000000" w:rsidRPr="00000000" w14:paraId="000001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Príloha – mini-schémy postupov</w:t>
      </w:r>
    </w:p>
    <w:p w:rsidR="00000000" w:rsidDel="00000000" w:rsidP="00000000" w:rsidRDefault="00000000" w:rsidRPr="00000000" w14:paraId="000001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Príloha A – Platba agentovi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Systém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Kontrola / STOP podmienka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Prijatie faktúry od agenta s odkazom na zmluvu a obchodný prípad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ERP, eSchránka / e-mail fakturácie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STOP, ak chýba ID partnera alebo odkaz na zmluvu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Overenie platnosti DD a sankčného screeningu partnera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STOP, ak je DD neplatná, re-previerka po termíne alebo partner blokovaný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Párovanie: faktúra – zmluva (sadzba provízie) – dôkaz o výkone (správa, obchodný prípad v CRM)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Obchod (potvrdí výkon), 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CRM, ERP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STOP, ak výška nezodpovedá zmluve, chýba dôkaz o výkone alebo ide o zálohu bez výkonu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Kontrola príjemcu: IBAN na meno agenta, krajina sídla/pôsobenia, zhoda so zamknutým záznamom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 (IBAN lock)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STOP pri platbe tretej strane, do inej krajiny, v hotovosti alebo pri nedávnej zmene IBAN bez overenia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Zadanie platby jednou osobou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 – zadávateľ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 / internetbanking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Zadávateľ nesmie byť schvaľovateľ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Schválenie druhou osobou; nad interný limit alebo pri red flag aj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 – schvaľovateľ,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Internetbanking (dvojité schválenie)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 red flag eskalácia CCO; pri podozrení postup podľa kapitoly 7 rámca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Archivácia podkladov a záznamu o schválení; mesačný report provízií agentov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ERP, archív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Vzorka pre interný audit</w:t>
            </w:r>
          </w:p>
        </w:tc>
      </w:tr>
    </w:tbl>
    <w:p w:rsidR="00000000" w:rsidDel="00000000" w:rsidP="00000000" w:rsidRDefault="00000000" w:rsidRPr="00000000" w14:paraId="000001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Príloha B – Onboarding zahraničného obchodníka / agenta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Krok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Činnosť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Kto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Systém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Výstup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Odôvodnenie potreby agenta (trh, služby, prečo nie priamy predaj) a zápis do registra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Obchod (vlastník vzťahu)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 (formulár)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ID partnera, stav „v preverovaní“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DD dotazník agenta, výpis z registra, KUV, referencie, väzby na verejných funkcionárov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Agent, Obchod,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partnerov, priečinok DD (Dôverné)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Kompletný DD spis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Sankčný screening, adverse media, rizikové skóre krajiny; posúdenie produktov a krajín exportnou kontrolou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CCO, Export Control Officer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Sankčný screening, register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Rizikové skóre, záver, prípadné podmienky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Schválenie spolupráce (pri vysokom riziku aj štatutár)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 / štatutár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 (workflow)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Stav „schválený“ alebo „zamietnutý“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Agentská zmluva s compliance doložkami, audit right, zákazom platieb tretím stranám; plná moc s rozsahom, limitom, územím a platnosťou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Legal, štatutár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Šablóny, e-podpis, archív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Podpísaná zmluva a plná moc; limity zapísané v CRM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ABAC školenie s testom, ročný ABAC certifikát, vyhlásenie o konflikte záujmov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Agent, CCO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LMS / formulár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Certifikát a podpísané vyhlásenia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Založenie partnera v ERP, overenie a zamknutie IBAN (spätné overenie na známom kontakte)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ERP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Zamknutý bankový účet na meno agenta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Prístupy: len partnerský portál alebo zdieľaný priestor s MFA, výlučne údaje potrebné pre jeho trh; žiadny prístup k utajovaným ani exportne citlivým technickým údajom bez posúdenia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CISO / IT, vlastník vzťahu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IAM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Pridelené a zdokumentované prístupy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Nastavenie termínu ročnej re-previerky a hlásenia kontaktov s verejnými funkcionármi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CCO, Obchod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Register partnerov, register stretnutí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Aktívny partner s termínom re-previerky</w:t>
            </w:r>
          </w:p>
        </w:tc>
      </w:tr>
    </w:tbl>
    <w:p w:rsidR="00000000" w:rsidDel="00000000" w:rsidP="00000000" w:rsidRDefault="00000000" w:rsidRPr="00000000" w14:paraId="000002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Správa dokumentu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Verzia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Dátum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Popis zmeny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Prvý návrh – prax a technologický stack k rámcu v1.0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5.0" w:type="dxa"/>
              <w:left w:w="155.0" w:type="dxa"/>
              <w:bottom w:w="155.0" w:type="dxa"/>
              <w:right w:w="15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NÁVRH – na právne, bezpečnostné a IT overenie</w:t>
            </w:r>
          </w:p>
        </w:tc>
      </w:tr>
    </w:tbl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Vlastníkmi dokumentu sú spoločne Chief Compliance Officer (procesy a compliance nástroje) a CISO (IT a bezpečnostné nástroje); časť o utajovanom prostredí schvaľuje Bezpečnostný manažér. Dokument sa reviduje najmenej raz ročne a pri zmene nástrojov, legislatívy alebo obchodného modelu.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1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lineRule="auto"/>
      <w:jc w:val="center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Rule="auto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Rule="auto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UZd3eoYDtxbJ4tXeeZJm9xfV4IiWikkT3SQ--IbdxA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