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rFonts w:ascii="Times" w:cs="Times" w:eastAsia="Times" w:hAnsi="Times"/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f3864"/>
          <w:sz w:val="40"/>
          <w:szCs w:val="40"/>
          <w:rtl w:val="0"/>
        </w:rPr>
        <w:t xml:space="preserve">Logovanie, monitoring a kybernetická prevádzka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" w:cs="Times" w:eastAsia="Times" w:hAnsi="Times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IOTA Defence a.s. · štandard logovania, MFA, PAM, záplat, zraniteľností, SIEM a väzby na incidenty a NIS2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" w:cs="Times" w:eastAsia="Times" w:hAnsi="Times"/>
          <w:color w:val="404040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color w:val="404040"/>
          <w:sz w:val="20"/>
          <w:szCs w:val="20"/>
          <w:rtl w:val="0"/>
        </w:rPr>
        <w:t xml:space="preserve">IOTA Defence a.s. · Verzia 1.0 · Dátum: 6. 10. 2026 · Vypracoval: Márian Stančík · Klasifikácia: Interné – Dôverné · Stav: NÁVRH</w:t>
      </w:r>
    </w:p>
    <w:tbl>
      <w:tblPr>
        <w:tblStyle w:val="Table1"/>
        <w:tblW w:w="9360.0" w:type="dxa"/>
        <w:jc w:val="left"/>
        <w:tblBorders>
          <w:top w:color="c00000" w:space="0" w:sz="12" w:val="single"/>
          <w:left w:color="c00000" w:space="0" w:sz="12" w:val="single"/>
          <w:bottom w:color="c00000" w:space="0" w:sz="12" w:val="single"/>
          <w:right w:color="c00000" w:space="0" w:sz="12" w:val="single"/>
          <w:insideH w:color="c00000" w:space="0" w:sz="12" w:val="single"/>
          <w:insideV w:color="c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12" w:val="single"/>
              <w:left w:color="c00000" w:space="0" w:sz="12" w:val="single"/>
              <w:bottom w:color="c00000" w:space="0" w:sz="12" w:val="single"/>
              <w:right w:color="c00000" w:space="0" w:sz="12" w:val="single"/>
            </w:tcBorders>
            <w:shd w:fill="fce4d6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rFonts w:ascii="Times" w:cs="Times" w:eastAsia="Times" w:hAnsi="Times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shd w:fill="auto" w:val="clear"/>
                <w:rtl w:val="0"/>
              </w:rPr>
              <w:t xml:space="preserve"> Štandard logovania, monitoringu a kybernetickej prevádzky. Retencie, SLA záplat, časy reakcie a prahy sú [DOPLNIŤ] – určí CISO na základe analýzy rizík a Legal/DPO podľa právnych požiadaviek. Lehoty hlásení podľa zákona č. 69/2018 Z. z. v znení zákona č. 366/2024 Z. z. sa uvádzajú orientačne a pred schválením ich overí Legal podľa aktuálneho znenia.</w:t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1. Účel, rozsah, roly</w:t>
      </w:r>
    </w:p>
    <w:tbl>
      <w:tblPr>
        <w:tblStyle w:val="Table2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Účel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Zabezpečiť detekciu, vyšetrenie a preukázanie bezpečnostných udalostí; definovať minimálne kybernetické kontroly (MFA, záplaty, zraniteľnosti, privilegované prístupy) a väzbu na reakciu na incidenty (schéma 08) a BCP/DR (dokument 08).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Rozsah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Bežné IT a SaaS, sieť, koncové zariadenia, ERP a platby, register partnerov, fyzický prístup, OT/výroba (v rozsahu technických možností). Utajované prostredie – len podľa bezpečnostnej dokumentácie NBÚ (kap. 11).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Vlastník (A)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CISO – štandard, use-cases, dohľad, revízia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Výkon (R)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prevádzka / externý správca / SOC (ak bude zmluvne zabezpečený) – konfigurácia, zber, prvotné vyhodnotenie (U-06)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Konzultovaní (C)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Legal a DPO – zákonnosť monitoringu zamestnancov; Bezpečnostný manažér – rozhranie k utajovanému prostrediu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2. Čo sa loguje – minimálne zdroje</w:t>
      </w:r>
    </w:p>
    <w:tbl>
      <w:tblPr>
        <w:tblStyle w:val="Table3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Zdroj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Udalosti (minimum)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 zdroja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Retencia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Revízia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Identita (IdP – Google / Entra ID)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Prihlásenia úspešné/neúspešné, MFA udalosti, zmeny MFA, nové zariadenia, zmeny rolí, vytvorenie/zmazanie účtu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IT prevádzka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automaticky + týždenne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Administrácia tenantu / cloudu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Admin aktivity, zmeny politík, zdieľanie navonok, API/aplikácie s prístupom k dátam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týždenne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Pravidlá presmerovania, prístupy do schránok, delegácie, phishing hlásenia, DLP udalosti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IT prevádzka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týždenne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Koncové zariadenia (EDR, MDM)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Detekcie, vypnutie ochrany, inštalácia SW, USB média, šifrovanie disku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denne (alerty)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Sieť (firewall, VPN, DNS, Wi-Fi)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Spojenia, blokácie, VPN prihlásenia, zmeny konfigurácie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IT prevádzka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týždenne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Servery a databázy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Prihlásenia, privilegované príkazy, zmeny konfigurácie, zálohy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týždenne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ERP a internetbanking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Schválenia platieb,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zmeny IBAN a kmeňových dát dodávateľov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, zmeny limitov, nové užívateľské práva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denne pri platbách, mesačne revízia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Register partnerov / CRM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Zmeny stavu DD, schválenia CCO, STOP, prístupy k Dôverným záznamom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mesačne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Súborové úložiská (zóna Dôverné)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Prístupy, hromadné sťahovanie, externé zdieľanie, zmeny oprávnení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Vlastníci dát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mesačne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Privilegované relácie (PAM)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Začiatok/koniec, účet, cieľ, schválenie JIT, záznam relácie (ak je zavedený)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CISO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každé použitie break-glass; mesačne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Fyzický prístup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Vstupy do areálu, chránených priestorov, serverovne; návštevy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Bezp. manažér / Správa budov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mesačne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Zálohovací systém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Úspešnosť úloh, zmeny retencie, mazanie, obnovy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denne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OT / výroba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Vzdialené prístupy dodávateľov, zmeny programov/konfigurácií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Výroba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pri každom prístupe</w:t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2.1 Požiadavky na logy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Synchronizácia času: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všetky systémy z jedného spoľahlivého zdroja (NTP), časová zóna v záznamoch jednoznačná.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Integrita: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logy sa ukladajú centrálne (SIEM / log úložisko) s ochranou proti zmene a zmazaniu (nemenné úložisko); administrátor nesmie mazať logy o vlastnej činnosti.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Prístup k logom: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len CISO, poverení analytici IT prevádzky / SOC, interný audit na požiadanie; prístup k logom sa sám loguje.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Obsah: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neukladať heslá, tokeny ani obsah komunikácie, ak to nie je nevyhnutné; minimalizácia osobných údajov.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Retencia: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[DOPLNIŤ pre každý zdroj] – zohľadniť potrebu vyšetrovania, požiadavky zákona č. 69/2018 Z. z. (ak v pôsobnosti), GDPR (primeranosť) a zmluvné požiadavky konzorcií.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Výpadok zberu: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zastavenie zberu logov z kritického zdroja je alert P2.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2.2 Monitoring zamestnancov – právne podmienky</w:t>
      </w:r>
    </w:p>
    <w:tbl>
      <w:tblPr>
        <w:tblStyle w:val="Table4"/>
        <w:tblW w:w="9360.0" w:type="dxa"/>
        <w:jc w:val="left"/>
        <w:tblBorders>
          <w:top w:color="bf9000" w:space="0" w:sz="12" w:val="single"/>
          <w:left w:color="bf9000" w:space="0" w:sz="12" w:val="single"/>
          <w:bottom w:color="bf9000" w:space="0" w:sz="12" w:val="single"/>
          <w:right w:color="bf9000" w:space="0" w:sz="12" w:val="single"/>
          <w:insideH w:color="bf9000" w:space="0" w:sz="12" w:val="single"/>
          <w:insideV w:color="bf9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9000" w:space="0" w:sz="12" w:val="single"/>
              <w:left w:color="bf9000" w:space="0" w:sz="12" w:val="single"/>
              <w:bottom w:color="bf9000" w:space="0" w:sz="12" w:val="single"/>
              <w:right w:color="bf9000" w:space="0" w:sz="12" w:val="single"/>
            </w:tcBorders>
            <w:shd w:fill="fff2cc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rFonts w:ascii="Times" w:cs="Times" w:eastAsia="Times" w:hAnsi="Times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shd w:fill="auto" w:val="clear"/>
                <w:rtl w:val="0"/>
              </w:rPr>
              <w:t xml:space="preserve">Monitoring činnosti zamestnancov (logy, e-mail, DLP, kamery) je prípustný len v súlade so Zákonníkom práce (§ 13 ods. 4 – vážne dôvody spočívajúce v osobitnej povahe činností, rozsah a spôsob kontroly, prerokovanie so zástupcami zamestnancov, ak pôsobia, a vopred informovanie zamestnancov) a s GDPR (právny základ, posúdenie primeranosti, prípadne DPIA, informačná povinnosť).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Pred zapnutím use-cases týkajúcich sa správania jednotlivcov</w:t>
            </w: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shd w:fill="auto" w:val="clear"/>
                <w:rtl w:val="0"/>
              </w:rPr>
              <w:t xml:space="preserve"> (napr. hromadné sťahovanie, DLP) Legal a DPO vydajú písomné posúdenie a HR zabezpečí informovanie zamestnancov. Freelanceri sa informujú zmluvne.</w:t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6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3. Viacfaktorová autentifikácia (MFA)</w:t>
      </w:r>
    </w:p>
    <w:tbl>
      <w:tblPr>
        <w:tblStyle w:val="Table5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Skupina účtov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Požiadavka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Výnimky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Všetci zamestnanci a freelanceri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MFA vynútené politikou podmieneného prístupu; prednostne aplikácia s overením čísla alebo FIDO2; SMS len dočasne s výnimkou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Len písomne, s dobou platnosti, register výnimiek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Privilegované a administrátorské účty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FIDO2 / hardvérový kľúč, oddelený admin účet bez e-mailu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Žiadne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Break-glass účty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FIDO2, uložené v trezore, monitorované, použitie = alert P1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Servisné účty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Bez interaktívneho prihlásenia; obmedzenie IP/rozsahu; rotácia tajomstiev 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Register servisných účtov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Externý správca / dodávateľ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MFA + JIT prístup schválený CISO, záznam relácie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Internetbanking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Podľa banky; autorizácia platby oddelená od prípravy (4-eyes)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Kontrola: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mesačný report pokrytia MFA (KPI CISO), zoznam účtov bez MFA = nápravné opatrenie s termínom.</w:t>
      </w:r>
    </w:p>
    <w:p w:rsidR="00000000" w:rsidDel="00000000" w:rsidP="00000000" w:rsidRDefault="00000000" w:rsidRPr="00000000" w14:paraId="0000007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4. Privilegované prístupy (PAM) – minimum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Oddelené administrátorské účty; žiadna administrácia z bežného účtu ani z neriadeného zariadenia.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Zoznam privilegovaných účtov (register) s vlastníkom, schvaľovateľom a dôvodom; recertifikácia štvrťročne.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Just-in-time pridelenie práv s maximálnou dobou [DOPLNIŤ]; trvalé globálne admin práva len pre [DOPLNIŤ počet] break-glass účtov.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Logovanie všetkých privilegovaných relácií; záznam relácií externého správcu (cieľovo).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CISO nemá trvalé privilegované práva v produkčných systémoch (U-06); prístup len na čítanie logov a konfigurácií.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Odobratie privilegovaných práv v deň zmeny funkcie / odchodu (Onboarding – offboarding časová os).</w:t>
      </w:r>
    </w:p>
    <w:p w:rsidR="00000000" w:rsidDel="00000000" w:rsidP="00000000" w:rsidRDefault="00000000" w:rsidRPr="00000000" w14:paraId="0000008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5. Správa záplat (patch management)</w:t>
      </w:r>
    </w:p>
    <w:tbl>
      <w:tblPr>
        <w:tblStyle w:val="Table6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Kritickosť zraniteľnosti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Príklad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SLA nasadenia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Výnimka schvaľuje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Kritická / aktívne zneužívaná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Zraniteľnosť v katalógu aktívne zneužívaných (napr. CISA KEV), externe dostupný systém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CISO + vlastník systému, kompenzačné opatrenie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Vysoká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CVSS vysoká na internom systéme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CISO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Stredná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IT prevádzka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Nízka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prevádzka</w:t>
            </w:r>
          </w:p>
        </w:tc>
      </w:tr>
    </w:tbl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Rozsah: OS, prehliadače, kancelárske aplikácie, firmvér sieťových prvkov a firewallov, VPN, hypervízory, ERP.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OT / výrobné systémy: záplaty len po odsúhlasení s dodávateľom a Výrobou; ak nie je možné záplatovať – segmentácia a kontrolovaný vzdialený prístup.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Nepodporované (end-of-life) systémy: register, plán náhrady, izolácia.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Report súladu mesačne (KPI CISO).</w:t>
      </w:r>
    </w:p>
    <w:p w:rsidR="00000000" w:rsidDel="00000000" w:rsidP="00000000" w:rsidRDefault="00000000" w:rsidRPr="00000000" w14:paraId="0000009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6. Správa zraniteľností</w:t>
      </w:r>
    </w:p>
    <w:tbl>
      <w:tblPr>
        <w:tblStyle w:val="Table7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Činnosť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Rozsah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Frekvencia (návrh)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Zodpovedný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Automatizované skenovanie interné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Servery, koncové zariadenia, sieť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 (návrh: mesačne)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IT prevádzka / CISO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Skenovanie externého perimetra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Verejné IP, domény, VPN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 (návrh: týždenne)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prevádzka / CISO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Konfiguračný audit tenantu (Workspace / M365)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Zdieľanie, politiky, aplikácie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 (návrh: štvrťročne)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Penetračný test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Kritické systémy, externý perimeter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 (návrh: ročne a po zásadnej zmene)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Externý dodávateľ, A: CISO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Register zraniteľností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Všetky nálezy s vlastníkom a termínom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priebežne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Hlásenie zraniteľností v produktoch (ak obsahujú SW/firmvér)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Koordinované zverejňovanie; posúdiť nariadenie (EÚ) 2024/2847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CISO / Vývoj</w:t>
            </w:r>
          </w:p>
        </w:tc>
      </w:tr>
    </w:tbl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7. SIEM / SOC – úrovne alertov a reakcie</w:t>
      </w:r>
    </w:p>
    <w:tbl>
      <w:tblPr>
        <w:tblStyle w:val="Table8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Úroveň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Charakter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Príklady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Prvá reakcia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Eskalácia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P1 – kritická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Prebiehajúci útok alebo vysoké riziko pre utajované / platby / výrobu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Ransomvér, použitie break-glass, nový globálny admin mimo zmeny, hromadné šifrovanie, zmena IBAN bez 4-eyes, exfiltrácia Dôverných dát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CISO ihneď → gestor bezpečnosti → krízový štáb (dokument 08 kap. 6–7)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P2 – vysoká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Pravdepodobná kompromitácia účtu alebo zariadenia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Nemožné cestovanie, vypnutie MFA, malware na zariadení, pravidlo presmerovania pošty mimo firmy, výpadok zberu logov z kritického zdroja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CISO, incident 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P3 – stredná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Podozrivá aktivita vyžadujúca analýzu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Opakované neúspešné prihlásenia, nové zariadenie z rizikovej krajiny, neúspešná záloha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IT prevádzka; CISO informovaný v dennom prehľade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P4 – nízka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Informatívne / ladenie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Blokovaný phishing, politiky v režime audit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Týždenný prehľad</w:t>
            </w:r>
          </w:p>
        </w:tc>
      </w:tr>
    </w:tbl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7.1 Minimálne use-cases (detekcie)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Prihlásenie z neobvyklej krajiny / nemožné cestovanie; prihlásenie bez MFA.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Zmena alebo vypnutie MFA, pridanie nového faktora.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Vytvorenie admin účtu alebo pridelenie admin roly mimo schválenej zmeny.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Hromadné sťahovanie alebo externé zdieľanie zo zóny Dôverné.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Zmena IBAN / kmeňových dát dodávateľa alebo agenta; platba na nový IBAN.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Pravidlo presmerovania e-mailu mimo domény.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Vypnutie EDR, detekcia ransomvéru, použitie nástrojov na šifrovanie.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Zmena retencie alebo mazanie záloh / logov.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Vzdialený prístup dodávateľa do OT mimo schváleného okna.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Prístup do chránených priestorov mimo oprávnenia (fyzický systém).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Rozhodnutie interný SOC vs. externý (MDR/SOC služba) a pohotovosť 24/7: [DOPLNIŤ] – rozhodne predstavenstvo na návrh CISO.</w:t>
      </w:r>
    </w:p>
    <w:p w:rsidR="00000000" w:rsidDel="00000000" w:rsidP="00000000" w:rsidRDefault="00000000" w:rsidRPr="00000000" w14:paraId="000000E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8. Väzba na reakciu na incidenty (schéma 08)</w:t>
      </w:r>
    </w:p>
    <w:tbl>
      <w:tblPr>
        <w:tblStyle w:val="Table9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Krok schémy 08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Vstup z tohto štandardu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Výstup / dôkaz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1. Detekcia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Alert P1–P4 zo SIEM, hlásenie zamestnanca, dodávateľ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Záznam v záznamníku incidentov (čas zistenia)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2. Klasifikácia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Typ: kyber / osobné údaje / utajované / ABAC-sankcie; závažnosť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Rozhodnutie incident ownera, čas klasifikácie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3. Notifikácia interná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Komunikačný strom (dokument 08 kap. 7)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Čas informovania gestora / štábu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4. Izolácia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PAM, blokovanie účtov, izolácia EDR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Zoznam opatrení, zachované logy a obrazy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5. Hlásenie orgánom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Tabuľka lehôt kap. 9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Kópie hlásení, potvrdenia prijatia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6. Obnova a poučenie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DR runbooky (dokument 08 kap. 8)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Záznam o obnove, nápravné opatrenia</w:t>
            </w:r>
          </w:p>
        </w:tc>
      </w:tr>
    </w:tbl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9. Jednotná tabuľka lehôt hlásení (U-09)</w:t>
      </w:r>
    </w:p>
    <w:tbl>
      <w:tblPr>
        <w:tblStyle w:val="Table10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Typ incidentu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Adresát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Lehota (overiť podľa aktuálneho znenia)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Kto hlási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Právny základ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Závažný kybernetický incident (ak je spoločnosť v pôsobnosti)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NBÚ (cez určený kanál / informačný systém NBÚ)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Včasné varovanie do 24 h od zistenia; hlásenie incidentu do 72 h; záverečná správa do 1 mesiaca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CISO (A: predstavenstvo)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Zákon č. 69/2018 Z. z. v znení zákona č. 366/2024 Z. z.; smernica (EÚ) 2022/2555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Porušenie ochrany osobných údajov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ÚOOÚ SR; dotknuté osoby pri vysokom riziku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Do 72 h od zistenia (ÚOOÚ SR); dotknutým osobám bez zbytočného odkladu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DPO / CCO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Čl. 33 a 34 GDPR; zákon č. 18/2018 Z. 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Bezpečnostný incident s utajovanými skutočnosťami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NBÚ (a pôvodca podľa zmluvy)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Bezodkladne – presnú lehotu a formu overí Bezpečnostný manažér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Zákon č. 215/2004 Z. z. a vykonávacie predpisy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Podozrenie na trestný čin (korupcia, podvod, kybernetický útok)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OČTK (polícia / prokuratúra)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Podľa posúdenia Legal (oznamovacia povinnosť podľa Trestného zákona)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Legal / CCO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Trestný zákon; zákon č. 91/2016 Z. 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Porušenie sankcií / exportného režimu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Príslušný orgán (napr. MH SR) podľa posúdenia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Podľa posúdenia Legal a ECO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ECO / Legal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Nariadenie (EÚ) 2021/821; zákony č. 392/2011, 39/2011, 289/2016 Z. 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Zmluvné hlásenie (konzorcium, zákazník)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Podľa zmluvy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 podľa zmlúv]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Legal / Obchod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Zmluvy</w:t>
            </w:r>
          </w:p>
        </w:tc>
      </w:tr>
    </w:tbl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2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10. NIS2 – povedomie a posúdenie pôsobnosti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Smernica (EÚ) 2022/2555 (NIS2) bola do slovenského práva transponovaná novelou zákona č. 69/2018 Z. z. o kybernetickej bezpečnosti, vykonanou zákonom č. 366/2024 Z. z. (účinnosť od 1. 1. 2025). Orgánom je Národný bezpečnostný úrad. Či sa povinnosti vzťahujú na IOTA Defence a.s., zatiaľ nebolo posúdené (audit – D05).</w:t>
      </w:r>
    </w:p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10.1 Kontrolný zoznam písomného posúdenia (D05)</w:t>
      </w:r>
    </w:p>
    <w:tbl>
      <w:tblPr>
        <w:tblStyle w:val="Table11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Otázka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Odpoveď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Zdroj / dôkaz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Pôsobí spoločnosť v sektore / podsektore uvedenom v prílohách zákona (napr. výroba vybraných produktov, digitálni poskytovatelia, dodávateľský reťazec)?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Predmet činnosti, NACE kódy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Spĺňa veľkostné kritériá (počet zamestnancov, obrat, súvaha) podľa aktuálneho znenia?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Účtovná závierka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Je spoločnosť určená ako subjekt bez ohľadu na veľkosť (osobitné kritériá) alebo je kritickým dodávateľom subjektu v pôsobnosti?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Zmluvy, oznámenia NBÚ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Vzťahujú sa na spoločnosť výnimky pre obranu / národnú bezpečnosť (časť činnosti)?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Legal – posúdenie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Záver: v pôsobnosti áno / nie; kategória subjektu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Podpis CISO + 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Ak áno: registrácia u NBÚ, lehota, zodpovedná osoba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Potvrdenie registrácie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Ak nie: dobrovoľné uplatnenie opatrení ako zmluvný štandard pre konzorciá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Rozhodnutie predstavenstva</w:t>
            </w:r>
          </w:p>
        </w:tc>
      </w:tr>
    </w:tbl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" w:cs="Times" w:eastAsia="Times" w:hAnsi="Times"/>
          <w:color w:val="1f3864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f3864"/>
          <w:sz w:val="26"/>
          <w:szCs w:val="26"/>
          <w:rtl w:val="0"/>
        </w:rPr>
        <w:t xml:space="preserve">10.2 Čo z NIS2 platí pre spoločnosť prakticky aj bez ohľadu na záver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Zodpovednosť štatutárneho orgánu: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predstavenstvo schvaľuje opatrenia riadenia kybernetických rizík a dohliada na ich plnenie; členovia predstavenstva absolvujú školenie [DOPLNIŤ frekvencia].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Opatrenia: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analýza rizík, riešenie incidentov, kontinuita (dokument 08), bezpečnosť dodávateľského reťazca, bezpečnosť pri vývoji a údržbe, hodnotenie účinnosti, kybernetická hygiena a školenia, kryptografia, personálna bezpečnosť a riadenie prístupov, MFA.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Hlásenie incidentov: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viacstupňové (kap. 9).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Sankcie: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zákon upravuje pokuty a zodpovednosť – výšky sa v tomto dokumente zámerne neuvádzajú; overí Legal.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Zmluvný tlak: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zákazníci a konzorciá v pôsobnosti budú požadovať tieto opatrenia aj od dodávateľov.</w:t>
      </w:r>
    </w:p>
    <w:p w:rsidR="00000000" w:rsidDel="00000000" w:rsidP="00000000" w:rsidRDefault="00000000" w:rsidRPr="00000000" w14:paraId="0000014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11. Utajované prostredie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Logovanie, monitoring a bezpečnosť technických prostriedkov v utajovanom prostredí sa riadia výlučne bezpečnostným projektom a dokumentáciou podľa zákona č. 215/2004 Z. z. a požiadaviek NBÚ. Logy z utajovaného prostredia sa </w:t>
      </w: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neprenášajú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do bežného SIEM. Bežný SIEM monitoruje len fyzické a sieťové rozhranie (napr. pokusy o pripojenie neoprávnených zariadení v chránenom priestore), ak to bezpečnostná dokumentácia pripúšťa.</w:t>
      </w:r>
    </w:p>
    <w:p w:rsidR="00000000" w:rsidDel="00000000" w:rsidP="00000000" w:rsidRDefault="00000000" w:rsidRPr="00000000" w14:paraId="0000014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12. RACI – kybernetická prevádzka</w:t>
      </w:r>
    </w:p>
    <w:tbl>
      <w:tblPr>
        <w:tblStyle w:val="Table12"/>
        <w:tblW w:w="9360.000000000002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Činnosť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Predstavenstvo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CISO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IT prevádzka / SOC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Legal / DPO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Vlastníci dát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Bezp. manažér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Schválenie štandardu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Konfigurácia logovania a SIEM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Posúdenie monitoringu zamestnancov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Vynútenie MFA, PAM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Patching, skenovanie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 (dohľad)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Vyhodnotenie alertov P1/P2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I (P1)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C (rozhranie)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Hlásenie NBÚ (kyber)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Posúdenie NIS2 (D05)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13. Otvorené body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Retencie pre každý zdroj logov [DOPLNIŤ].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SLA záplat a časy reakcie [DOPLNIŤ].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Výber SIEM / SOC a pohotovosti.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Písomné posúdenie monitoringu zamestnancov (Legal + DPO) a informovanie zamestnancov.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Písomné posúdenie pôsobnosti NIS2 (D05).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Zapnutie audit logov v tenante, ERP a internetbankingu ako prvý dôkaz (audit kap. 8, výstup 8).</w:t>
      </w:r>
    </w:p>
    <w:p w:rsidR="00000000" w:rsidDel="00000000" w:rsidP="00000000" w:rsidRDefault="00000000" w:rsidRPr="00000000" w14:paraId="0000019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Rule="auto"/>
        <w:rPr>
          <w:rFonts w:ascii="Times" w:cs="Times" w:eastAsia="Times" w:hAnsi="Times"/>
          <w:color w:val="1f386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color w:val="1f3864"/>
          <w:sz w:val="32"/>
          <w:szCs w:val="32"/>
          <w:rtl w:val="0"/>
        </w:rPr>
        <w:t xml:space="preserve">Správa dokumentu</w:t>
      </w:r>
    </w:p>
    <w:tbl>
      <w:tblPr>
        <w:tblStyle w:val="Table13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Prvý návrh štandardu logovania, monitoringu a kybernetickej prevádzky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" w:cs="Times" w:eastAsia="Times" w:hAnsi="Times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vertAlign w:val="baseline"/>
                <w:rtl w:val="0"/>
              </w:rPr>
              <w:t xml:space="preserve">NÁVRH – na posúdenie predstavenstvom, právnu a bezpečnostnú revíziu</w:t>
            </w:r>
          </w:p>
        </w:tc>
      </w:tr>
    </w:tbl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