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lineRule="auto"/>
        <w:rPr>
          <w:rFonts w:ascii="Times New Roman" w:cs="Times New Roman" w:eastAsia="Times New Roman" w:hAnsi="Times New Roman"/>
          <w:b w:val="1"/>
          <w:bCs w:val="1"/>
          <w:color w:val="002046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46"/>
          <w:sz w:val="44"/>
          <w:szCs w:val="44"/>
          <w:rtl w:val="0"/>
        </w:rPr>
        <w:t xml:space="preserve">Politika due diligence tretích strán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i w:val="1"/>
          <w:iCs w:val="1"/>
          <w:color w:val="cd7f3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d7f32"/>
          <w:sz w:val="24"/>
          <w:szCs w:val="24"/>
          <w:rtl w:val="0"/>
        </w:rPr>
        <w:t xml:space="preserve">IOTA Defence a.s. · preverovanie agentov, poradcov, distribútorov, dodávateľov, zákazníkov a partnerov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color w:val="cd7f3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IOTA Defence a.s. · Verzia 1.0 · Dátum: 6. 10. 2026 · Vypracoval: Márian Stančík · Klasifikácia: Interné – Dôverné · Stav: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d7f32"/>
          <w:sz w:val="20"/>
          <w:szCs w:val="20"/>
          <w:rtl w:val="0"/>
        </w:rPr>
        <w:t xml:space="preserve">NÁVRH</w:t>
      </w:r>
    </w:p>
    <w:tbl>
      <w:tblPr>
        <w:tblStyle w:val="Table1"/>
        <w:tblW w:w="9360.0" w:type="dxa"/>
        <w:jc w:val="left"/>
        <w:tblBorders>
          <w:top w:color="cd7f32" w:space="0" w:sz="12" w:val="single"/>
          <w:left w:color="cd7f32" w:space="0" w:sz="12" w:val="single"/>
          <w:bottom w:color="cd7f32" w:space="0" w:sz="12" w:val="single"/>
          <w:right w:color="cd7f32" w:space="0" w:sz="12" w:val="single"/>
          <w:insideH w:color="cd7f32" w:space="0" w:sz="12" w:val="single"/>
          <w:insideV w:color="cd7f32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7f32" w:space="0" w:sz="12" w:val="single"/>
              <w:left w:color="cd7f32" w:space="0" w:sz="12" w:val="single"/>
              <w:bottom w:color="cd7f32" w:space="0" w:sz="12" w:val="single"/>
              <w:right w:color="cd7f32" w:space="0" w:sz="12" w:val="single"/>
            </w:tcBorders>
            <w:shd w:fill="fbf1e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NÁVRH – NIE JE PRÁVNA RADA. NA SCHVÁLENIE PREDSTAVENSTVOM.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rtl w:val="0"/>
              </w:rPr>
              <w:t xml:space="preserve"> Text je úplným návrhom politiky na schválenie predstavenstvom. Limity, mená, lehoty a sumy sú zámerne [DOPLNIŤ] / [DOPLNIŤ EUR]. Citácie predpisov overí advokát podľa znenia účinného ku dňu schválenia. Politika je súčasťou systému podľa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shd w:fill="auto" w:val="clear"/>
                  <w:rtl w:val="0"/>
                </w:rPr>
                <w:t xml:space="preserve">Rámca v1.1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Základné údaje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Položka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Hodnota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Číslo dokumentu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DD-POL-17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Vlastník politiky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Schvaľuje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 IOTA Defence a.s. uznesením č. 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 vedomie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Dozorná rada (štvrťročný report 2. línie podľa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Rámca v1.1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kap. 1.4)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Účinnosť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Dňom [DOPLNIŤ] (po schválení predstavenstvom)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Revízia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Najmenej raz ročne a pri podstatnej zmene právnej úpravy, obchodného modelu alebo po závažnom incidente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Klasifikácia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Interné – určené všetkým zamestnancom a dotknutým tretím stranám</w:t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1. Účel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Politika stanovuje záväzný postup preverenia tretích strán pred nadviazaním a počas trvania vzťahu tak, aby spoločnosť neniesla korupčné, sankčné, exportné, bezpečnostné, reputačné ani AML riziká za svojich partnerov.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Politika implementuje poradie krokov podľa uznesenia U-08 (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dok. 06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), schémy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07b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 Prílohy A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Rámca v1.1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2. Rozsah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Vzťahuje sa na všetky tretie strany: agentov a obchodných zástupcov, poradcov (najmä s kontaktom na verejný sektor), distribútorov a predajcov, dodávateľov a subdodávateľov (vrátane AVL), odberateľov a koncových užívateľov, partnerov v konzorciách a JV, príjemcov sponzoringu a darov, externých IT poskytovateľov.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Nevzťahuje sa na orgány verejnej moci konajúce vo výkone verejnej moci (napr. NBÚ, MH SR) a na verejné služby so zmluvou podľa všeobecných podmienok (energie), ak nejde o rizikový prípad.</w:t>
      </w:r>
    </w:p>
    <w:p w:rsidR="00000000" w:rsidDel="00000000" w:rsidP="00000000" w:rsidRDefault="00000000" w:rsidRPr="00000000" w14:paraId="0000001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3. Definície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Pojem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Význam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Register partnerov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Centrálna evidencia tretích strán so stavmi V PREVEROVANÍ / SCHVÁLENÝ / ZAMIETNUTÝ / POZASTAVENÝ, vedená CCO; Nákup a Obchod majú právo zápisu, aktiváciu vykonáva len CCO.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KUV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Konečný užívateľ výhod podľa zákona č. 297/2008 Z. z.; overuje sa okrem iného v registri partnerov verejného sektora a registri KUV.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PEP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Politicky exponovaná osoba podľa zákona č. 297/2008 Z. z.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Red flag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Okolnosť naznačujúca zvýšené riziko (príloha kap. 5.5).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Stupeň DD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Základná (S), rozšírená (R), hĺbková (H) – podľa rizikového skóre.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Vlastník vzťahu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Zamestnanec 1. línie zodpovedný za partnera (A podľa RACI </w:t>
            </w: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Rámca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kap. 3).</w:t>
            </w:r>
          </w:p>
        </w:tc>
      </w:tr>
    </w:tbl>
    <w:p w:rsidR="00000000" w:rsidDel="00000000" w:rsidP="00000000" w:rsidRDefault="00000000" w:rsidRPr="00000000" w14:paraId="0000002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4. Pravidlá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4.1 Základné princípy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4.1.1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Žiadne rokovanie o obchodných podmienkach, žiadna zmluva, platba, záloha, plná moc ani prístup do systémov pred príslušným krokom DD.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Aktivácia (SCHVÁLENÝ) nastáva až po podpise zmluvy s compliance doložkou.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4.1.2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DD je primeraná riziku; minimálny rozsah však platí pre každú tretiu stranu (identifikácia, sankčný screening).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4.1.3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Výsledok DD a všetky dôkazy sa archivujú v registri partnerov počas trvania vzťahu a [DOPLNIŤ] rokov po jeho skončení.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4.2 Postup (kroky 1–6)</w:t>
      </w:r>
    </w:p>
    <w:tbl>
      <w:tblPr>
        <w:tblStyle w:val="Table4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Krok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Činnosť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Zodpovedá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Stav v registri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Zápis partnera do registra, určenie vlastníka vzťahu a účelu spolupráce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Vlastník vzťahu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 PREVEROVANÍ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Identifikácia (OR, sídlo, štatutári, vlastnícka štruktúra, KUV), sankčný screening (EÚ, OSN, UK, US OFAC/BIS), PEP, adverse media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 (nástroj [DOPLNIŤ])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 PREVEROVANÍ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Rizikové skóre: krajina (CPI, sankčné režimy), sektor, kontakt s verejným sektorom, typ a výška odmeny vs. benchmark; určenie stupňa DD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 + ECO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 PREVEROVANÍ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Dotazník DD, ABAC vyhlásenie, vyhlásenie o konflikte záujmov, referencie; pri H: rozhovor, overenie na mieste alebo externá správa; vyhodnotenie red flags; rozhodnutie CCO (vysoké riziko aj predstavenstvo) alebo STOP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CCO; predstavenstvo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 PREVEROVANÍ / ZAMIETNUTÝ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Zmluva s compliance doložkou, auditným právom, zákazom platieb tretím stranám, sankčnou a exportnou doložkou, okamžitým ukončením; plná moc s rozsahom; IBAN na meno partnera; podpis podľa </w:t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dok. 12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Legal, vlastník vzťahu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 PREVEROVANÍ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Aktivácia v registri; ABAC školenie agenta; nastavenie termínu re-previerky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SCHVÁLENÝ</w:t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4.3 Stupne DD podľa rizika</w:t>
      </w:r>
    </w:p>
    <w:tbl>
      <w:tblPr>
        <w:tblStyle w:val="Table5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Stupeň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Typické prípady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Minimálny rozsah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Schvaľuje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 – základná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Bežný dodávateľ z EÚ/NATO bez kontaktu s verejným sektorom a bez exportného rizika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Kroky 1–2, vyhlásenie dodávateľa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Nákup / CCO automaticky pri čistom screeningu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 – rozšírená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Dodávateľ AVL, distribútor, zákazník mimo EÚ, IT poskytovateľ s prístupom k dátam Dôverné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 + dotazník, KUV, finančná stabilita, referencie, end-user posúdenie ECO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H – hĺbková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Agent, obchodný zástupca, poradca s kontaktom na verejný sektor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, partner v konzorciu/JV, krajina s vysokým rizikom, PEP, red flag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 + rozhovor, externá integrity správa, overenie odbornej spôsobilosti a reálnej činnosti, zdôvodnenie potreby agenta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 + predstavenstvo</w:t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4.4 Re-previerka a priebežný monitoring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4.4.1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Re-previerka: H ročne, R každé 2 roky, S každé 3 roky [DOPLNIŤ]; vždy pri zmene vlastníka, štatutára, územia, rozsahu služieb alebo pri novom red flag.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4.4.2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Sankčný screening celej databázy partnerov sa opakuje automaticky pri každej aktualizácii sankčných zoznamov (Politika 18).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4.4.3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Pozitívny nález počas vzťahu: stav POZASTAVENÝ, zastavenie platieb a dodávok, rozhodnutie CCO/predstavenstva.</w:t>
      </w:r>
    </w:p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4.5 Red flags (nevyčerpávajúci zoznam)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Partner odporučený verejným funkcionárom alebo zákazníkom; vlastník alebo blízka osoba je verejný funkcionár / PEP.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Neprimerane vysoká provízia, úspechová odmena bez opisu služby, požiadavka na zálohu, hotovosť, platbu do tretej krajiny alebo na účet tretej osoby.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Neochota poskytnúť informácie o KUV, nepriehľadná štruktúra, schránková firma, sídlo v daňovom raji.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Chýbajúca odborná kvalifikácia alebo reálne zázemie; vznik krátko pred tendrom.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Odmietnutie compliance doložky alebo auditného práva; požiadavka na nezvyčajné fakturačné zmeny.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Negatívne mediálne správy, vyšetrovanie, sankčná zhoda alebo vlastníctvo sankcionovanou osobou ≥ 50 %.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Nejasný koncový užívateľ, požiadavka na nezvyčajnú trasu dodávky (Politika 18).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Každý red flag musí byť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vyriešený a zdokumentovaný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pred pokračovaním; nevyriešený red flag = STOP.</w:t>
      </w:r>
    </w:p>
    <w:p w:rsidR="00000000" w:rsidDel="00000000" w:rsidP="00000000" w:rsidRDefault="00000000" w:rsidRPr="00000000" w14:paraId="0000006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5. Role a zodpovednosti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620.7999999999997"/>
        <w:gridCol w:w="6739.2"/>
        <w:tblGridChange w:id="0">
          <w:tblGrid>
            <w:gridCol w:w="2620.7999999999997"/>
            <w:gridCol w:w="6739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Rola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Zodpovednosť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Vlastník vzťahu (Obchod / Nákup)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Zápis do registra (krok 1), podklady, vysvetlenie potreby partnera; monitoruje partnera počas vzťahu a hlási zmeny.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 za proces DD; screening, skóre, rozhodnutie, aktivácia, re-previerky, register partnerov.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End-user a exportné riziko, sankčné zoznamy (s CCO).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Legal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Zmluvné doložky, plné moci, posúdenie zahraničného práva.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Financie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Platba len partnerovi v stave SCHVÁLENÝ s overeným IBAN.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Schvaľuje partnerov stupňa H a agentov; rozhoduje o výnimkách.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CISO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Posúdenie IT poskytovateľov s prístupom k dátam a systémom.</w:t>
            </w:r>
          </w:p>
        </w:tc>
      </w:tr>
    </w:tbl>
    <w:p w:rsidR="00000000" w:rsidDel="00000000" w:rsidP="00000000" w:rsidRDefault="00000000" w:rsidRPr="00000000" w14:paraId="0000007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6. Kontroly a monitoring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3744"/>
        <w:gridCol w:w="1404"/>
        <w:gridCol w:w="1591.2"/>
        <w:gridCol w:w="2620.7999999999997"/>
        <w:tblGridChange w:id="0">
          <w:tblGrid>
            <w:gridCol w:w="3744"/>
            <w:gridCol w:w="1404"/>
            <w:gridCol w:w="1591.2"/>
            <w:gridCol w:w="2620.79999999999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Kontrola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Frekvencia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Vlastník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Dôkaz / záznam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Automatická blokácia platby partnerovi mimo stavu SCHVÁLENÝ v ERP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Priebežne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Financie / IT prevádzka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Log ERP, výnimky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Úplnosť spisov DD (vzorka 10 % nových partnerov)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Štvrťročne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Protokol kontroly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Dodržanie lehôt re-previerok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Mesačne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Report z registra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Kontrola zmlúv na prítomnosť compliance doložky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Štvrťročne vzorka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Legal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Protokol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Audit DD agentov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Podľa plánu DR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Interný audit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Správa IA</w:t>
            </w:r>
          </w:p>
        </w:tc>
      </w:tr>
    </w:tbl>
    <w:p w:rsidR="00000000" w:rsidDel="00000000" w:rsidP="00000000" w:rsidRDefault="00000000" w:rsidRPr="00000000" w14:paraId="0000009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7. Porušenie politiky a sankcie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Porušenie tejto politiky sa posudzuje podľa závažnosti, úmyslu, opakovania, spôsobenej škody a súčinnosti dotknutej osoby. Skutočnosť, že porušenie bolo „v záujme spoločnosti“ alebo na pokyn nadriadeného, nie je ospravedlnením.</w:t>
      </w:r>
    </w:p>
    <w:tbl>
      <w:tblPr>
        <w:tblStyle w:val="Table8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620.7999999999997"/>
        <w:gridCol w:w="6739.2"/>
        <w:tblGridChange w:id="0">
          <w:tblGrid>
            <w:gridCol w:w="2620.7999999999997"/>
            <w:gridCol w:w="6739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Osoba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Možné opatrenia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Zamestnanec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Porušenie pracovnej disciplíny podľa zákona č. 311/2001 Z. z. Zákonník práce: písomné upozornenie, zníženie alebo nepriznanie pohyblivej zložky mzdy podľa vnútorného predpisu [DOPLNIŤ], výpoveď alebo pri závažnom porušení okamžité skončenie pracovného pomeru; náhrada spôsobenej škody v rozsahu Zákonníka práce.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Vedúci zamestnanec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Ako zamestnanec; navyše zodpovednosť za nedostatočný dohľad, ak porušenie umožnil, toleroval alebo neohlásil.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Člen predstavenstva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Posúdenie dozornou radou a valným zhromaždením podľa stanov [DOPLNIŤ]: odvolanie z funkcie, zodpovednosť za škodu podľa Obchodného zákonníka (§ 194), nepriznanie odmeny.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Externý spolupracovník, agent, dodávateľ, partner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Zmluvné sankcie podľa compliance doložky: pozastavenie plnenia a platieb, zmluvná pokuta [DOPLNIŤ EUR], odstúpenie od zmluvy alebo jej okamžité ukončenie, zaradenie do stavu ZAMIETNUTÝ v registri partnerov.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Všetci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Ak porušenie môže napĺňať znaky trestného činu alebo správneho deliktu, Legal posúdi oznámenie orgánom činným v trestnom konaní alebo príslušnému orgánu; spoločnosť si vyhradzuje uplatnenie nároku na náhradu škody.</w:t>
            </w:r>
          </w:p>
        </w:tc>
      </w:tr>
    </w:tbl>
    <w:p w:rsidR="00000000" w:rsidDel="00000000" w:rsidP="00000000" w:rsidRDefault="00000000" w:rsidRPr="00000000" w14:paraId="000000A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Uzavretie zmluvy, udelenie plnej moci alebo vykonanie platby pred aktiváciou partnera je závažným porušením politiky.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Disciplinárne opatrenie navrhuje vedúci zamestnanec s HR po stanovisku CCO (pri utajovaných skutočnostiach Bezpečnostný manažér, pri IT CISO); o opatrení voči členovi predstavenstva rozhoduje orgán podľa stanov.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Za porušenie sa nepovažuje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odmietnutie konania, ktoré by porušilo túto politiku, ani oznámenie podozrenia v dobrej viere – takáto osoba je chránená podľa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Politiky 22 Whistleblowing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A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8. Súvisiace dokumenty a právny rámec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4212"/>
        <w:gridCol w:w="5148"/>
        <w:tblGridChange w:id="0">
          <w:tblGrid>
            <w:gridCol w:w="4212"/>
            <w:gridCol w:w="51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Dokument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Väzba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Schéma 07b DD partnera v1.1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· Príloha A </w:t>
            </w: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Rámca v1.1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Postup krokov 1–6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16 ABAC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· </w:t>
            </w: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18 Sankcie a export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· </w:t>
            </w: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24 AML/KYC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· </w:t>
            </w: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25 Konzorciá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Súvisiace politiky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12 Podpisový poriadok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· </w:t>
            </w: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P2P proces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Schvaľovanie a vendor onboarding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Zákon č. 297/2008 Z. z.; zákon č. 315/2016 Z. z. o registri partnerov verejného sektora; ISO 37001 kap. 8.2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Právny rámec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11 Rámec organizácia, compliance, bezpečnosť v1.1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Nadradený rámec – organizácia, 3 línie, RACI, osnova politík (kap. 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26 INDEX politík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Zoznam všetkých politík a ich stav</w:t>
            </w:r>
          </w:p>
        </w:tc>
      </w:tr>
    </w:tbl>
    <w:p w:rsidR="00000000" w:rsidDel="00000000" w:rsidP="00000000" w:rsidRDefault="00000000" w:rsidRPr="00000000" w14:paraId="000000B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9. Schválenie a účinnosť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Funkcia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Meno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Podpis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Dátum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Predseda predstavenstva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Člen predstavenstva – gestor compliance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Člen predstavenstva – gestor bezpečnosti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 vedomie: predseda dozornej rady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Výklad politiky poskytuje vlastník politiky. Výnimky z politiky môže udeliť len predstavenstvo písomne, na dobu určitú a s kompenzačnými opatreniami; každá výnimka sa eviduje v registri výnimiek CCO a reportuje dozornej rade.</w:t>
      </w:r>
    </w:p>
    <w:p w:rsidR="00000000" w:rsidDel="00000000" w:rsidP="00000000" w:rsidRDefault="00000000" w:rsidRPr="00000000" w14:paraId="000000D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Správa dokumentu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Verzia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Dátum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Autor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Popis zmeny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Stav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Márian Stančík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Prvý úplný návrh textu politiky (úloha D04 podľa </w:t>
            </w:r>
            <w:hyperlink r:id="rId2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14 P0 STATUS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NÁVRH – na právnu revíziu a schválenie predstavenstvom</w:t>
            </w:r>
          </w:p>
        </w:tc>
      </w:tr>
    </w:tbl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4Av4KAvrf1_XVTAcGxETx64UQ11lmeGC9pVw7Vw4yiQ/edit" TargetMode="External"/><Relationship Id="rId11" Type="http://schemas.openxmlformats.org/officeDocument/2006/relationships/hyperlink" Target="https://docs.google.com/document/d/1zOz-IPOs1SoTmKwQo6jDrqPL_NZk29Tl5oDKKSCup8o/edit" TargetMode="External"/><Relationship Id="rId22" Type="http://schemas.openxmlformats.org/officeDocument/2006/relationships/hyperlink" Target="https://docs.google.com/document/d/1zOz-IPOs1SoTmKwQo6jDrqPL_NZk29Tl5oDKKSCup8o/edit" TargetMode="External"/><Relationship Id="rId10" Type="http://schemas.openxmlformats.org/officeDocument/2006/relationships/hyperlink" Target="https://docs.google.com/document/d/1zOz-IPOs1SoTmKwQo6jDrqPL_NZk29Tl5oDKKSCup8o/edit" TargetMode="External"/><Relationship Id="rId21" Type="http://schemas.openxmlformats.org/officeDocument/2006/relationships/hyperlink" Target="https://docs.google.com/document/d/1yL1CfWJqfAw1k-4an7Pg_werBVKH431RTIKPQXl6PJY/edit" TargetMode="External"/><Relationship Id="rId13" Type="http://schemas.openxmlformats.org/officeDocument/2006/relationships/hyperlink" Target="https://drive.google.com/drive/folders/1KR6yWpbcPSXMf7ShKL2XWJjclu36Obr0" TargetMode="External"/><Relationship Id="rId24" Type="http://schemas.openxmlformats.org/officeDocument/2006/relationships/hyperlink" Target="https://docs.google.com/document/d/1w6zb_TucBxzuOFGUdUdNZOkZ-gutm3iQbxOMlVCkVJU/edit" TargetMode="External"/><Relationship Id="rId12" Type="http://schemas.openxmlformats.org/officeDocument/2006/relationships/hyperlink" Target="https://docs.google.com/document/d/14Av4KAvrf1_XVTAcGxETx64UQ11lmeGC9pVw7Vw4yiQ/edit" TargetMode="External"/><Relationship Id="rId23" Type="http://schemas.openxmlformats.org/officeDocument/2006/relationships/hyperlink" Target="https://drive.google.com/drive/folders/1KR6yWpbcPSXMf7ShKL2XWJjclu36Obr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cV-uOqbk4XuPqQpVLUZ-7Gk8KWT2IMxl/view" TargetMode="External"/><Relationship Id="rId15" Type="http://schemas.openxmlformats.org/officeDocument/2006/relationships/hyperlink" Target="https://docs.google.com/document/d/1zOz-IPOs1SoTmKwQo6jDrqPL_NZk29Tl5oDKKSCup8o/edit" TargetMode="External"/><Relationship Id="rId14" Type="http://schemas.openxmlformats.org/officeDocument/2006/relationships/hyperlink" Target="https://drive.google.com/file/d/1cV-uOqbk4XuPqQpVLUZ-7Gk8KWT2IMxl/view" TargetMode="External"/><Relationship Id="rId17" Type="http://schemas.openxmlformats.org/officeDocument/2006/relationships/hyperlink" Target="https://drive.google.com/drive/folders/1KR6yWpbcPSXMf7ShKL2XWJjclu36Obr0" TargetMode="External"/><Relationship Id="rId16" Type="http://schemas.openxmlformats.org/officeDocument/2006/relationships/hyperlink" Target="https://drive.google.com/drive/folders/1KR6yWpbcPSXMf7ShKL2XWJjclu36Obr0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drive/folders/1KR6yWpbcPSXMf7ShKL2XWJjclu36Obr0" TargetMode="External"/><Relationship Id="rId6" Type="http://schemas.openxmlformats.org/officeDocument/2006/relationships/hyperlink" Target="https://docs.google.com/document/d/1zOz-IPOs1SoTmKwQo6jDrqPL_NZk29Tl5oDKKSCup8o/edit" TargetMode="External"/><Relationship Id="rId18" Type="http://schemas.openxmlformats.org/officeDocument/2006/relationships/hyperlink" Target="https://drive.google.com/drive/folders/1KR6yWpbcPSXMf7ShKL2XWJjclu36Obr0" TargetMode="External"/><Relationship Id="rId7" Type="http://schemas.openxmlformats.org/officeDocument/2006/relationships/hyperlink" Target="https://docs.google.com/document/d/1zOz-IPOs1SoTmKwQo6jDrqPL_NZk29Tl5oDKKSCup8o/edit" TargetMode="External"/><Relationship Id="rId8" Type="http://schemas.openxmlformats.org/officeDocument/2006/relationships/hyperlink" Target="https://docs.google.com/document/d/1EMnq77eS-b8mEu_rFJHd2lYhST9t-6FloC3bJMfUpsQ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