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Politika medzinárodných sankcií a exportnej kontroly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výrobky obranného priemyslu, položky s dvojakým použitím, end-user kontrola, red flags · základ Internal Compliance Programme (ICP)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 Text je úplným návrhom politiky na schválenie predstavenstvom. Limity, mená, lehoty a sumy sú zámerne [DOPLNIŤ] / [DOPLNIŤ EUR]. Citácie predpisov overí advokát podľa znenia účinného ku dňu schválenia. Politika je súčasťou systému podľa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shd w:fill="auto" w:val="clear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auto" w:val="clear"/>
                <w:rtl w:val="0"/>
              </w:rPr>
              <w:t xml:space="preserve">. Citácie predpisov sú uvedené na úrovni zákonov a nariadení; konkrétne ustanovenia, licenčné typy a postupy MH SR overí ECO a Legal pred schválením. Politika je základom ICP (úloha D11) podľa odporúčania Komisie (EÚ) 2019/1318.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DD-POL-18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 (ECO); v oblasti sankcií spoločne s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1.4)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 a pri podstatnej zmene právnej úpravy, obchodného modelu alebo po závažnom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Interné – určené všetkým zamestnancom a dotknutým tretím stranám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1. Účel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Zabezpečiť, aby žiadny výrobok, softvér, technológia, technická pomoc ani služba spoločnosti neboli vyvezené, transferované, sprostredkované alebo poskytnuté v rozpore s medzinárodnými sankciami alebo pravidlami exportnej kontroly, a aby sa výrobky nedostali k neoprávnenému koncovému užívateľovi alebo na neoprávnené koncové použitie.</w:t>
      </w:r>
    </w:p>
    <w:p w:rsidR="00000000" w:rsidDel="00000000" w:rsidP="00000000" w:rsidRDefault="00000000" w:rsidRPr="00000000" w14:paraId="0000001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2. Rozsah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Všetky transakcie s hmotnými položkami (výrobky, komponenty, náhradné diely, vzorky, prototypy), nehmotnými prenosmi technológií (e-mail, cloud, zdieľanie výkresov, prístup zahraničných osôb, ústne know-how), technickou pomocou, sprostredkovaním (brokering), tranzitom a dočasným vývozom (výstavy, testy, opravy).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Platí pre nákup aj predaj: aj nákup od sankcionovanej osoby alebo dovoz zakázaných položiek je zakázaný.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3. Definície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Výrobok obranného priemyslu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Položka podľa zoznamu výrobkov obranného priemyslu podľa zákona č. 392/2011 Z. z. (nadväzuje na Spoločný vojenský zoznam EÚ).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Položka s dvojakým použitím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Položka podľa Prílohy I nariadenia (EÚ) 2021/821, ako aj nekontrolovaná položka podliehajúca catch-all pravidlu.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Catch-all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Povinnosť licencie aj pre nezaradenú položku, ak je vývozca informovaný alebo vie, že položka je alebo môže byť určená na zakázané koncové použitie (napr. ZHN, vojenské použitie v krajine pod zbrojným embargom, kybersledovanie).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Koncový užívateľ / koncové použitie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Osoba, ktorá položku reálne použije, a účel použitia; dokladuje sa end-user certifikátom (EUC) alebo vyhlásením o konečnom použití.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Sankcionovaná osoba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Osoba na sankčných zoznamoch EÚ (konsolidovaný zoznam), OSN, SR, a pri dosahu aj UK (OFSI) a US (OFAC SDN, BIS Entity List); vrátane subjektov vlastnených (≥ 50 %) alebo kontrolovaných takouto osobou.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Licencia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Povolenie MH SR (alebo iného príslušného orgánu) na vývoz, transfer, sprostredkovanie alebo technickú pomoc; aj všeobecné, globálne a individuálne licencie EÚ.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ICP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Internal Compliance Programme – súbor postupov exportnej kontroly spoločnosti.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4. Právny rámec (prehľad)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Oblasť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Predpis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Sankcie EÚ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Nariadenia Rady prijaté podľa čl. 215 ZFEÚ (najmä nariadenie (EÚ) č. 833/2014 a č. 269/2014 – Rusko; nariadenie (ES) č. 765/2006 – Bielorusko; ďalšie krajinové režimy); priamo záväzné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Sankcie SR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289/2016 Z. z. o vykonávaní medzinárodných sankcií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Dvojaké použitie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2021/821; zákon č. 39/2011 Z. z. o výrobkoch s dvojakým použitím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Výrobky obranného priemyslu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392/2011 Z. z. o obchodovaní s výrobkami obranného priemyslu (povolenie na obchodovanie, licencie, transfery v EÚ podľa smernice 2009/43/ES); Spoločná pozícia Rady 2008/944/SZBP (kritériá vývozu)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Strelné zbrane (ak relevantné)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č. 258/2012; zákon č. 190/2003 Z. z. o strelných zbraniach a strelive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Extrateritoriálne (awareness)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US ITAR a EAR (re-export položiek s US pôvodom / obsahom), US OFAC; UK sanctions regime – posúdi Legal pri US/UK komponentoch, mene alebo partneroch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Colné predpisy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Colný kódex Únie; vývozné vyhlásenie a správne kódy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5. Pravidlá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5.1 Organizácia a zodpovednosť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Predstavenstvo vymenúva ECO a zabezpečí mu zdroje a nezávislosť; ECO má právo zastaviť akúkoľvek transakciu (veto) do rozhodnutia predstavenstva.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5.1.2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Žiadna ponuka, zmluva, odoslanie ani sprístupnenie technológie mimo SR nesmie prebehnúť bez záznamu o posúdení ECO v systéme [DOPLNIŤ] („export clearance“).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5.2 Klasifikácia položiek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Každý výrobok, komponent, softvér a technická dokumentácia spoločnosti má priradenú klasifikáciu (vojenský zoznam / dvojaké použitie s kódom / nekontrolované) v kmeňových dátach ERP; klasifikáciu určuje ECO a potvrdzuje ju technický útvar.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pochybnosti ECO požiada MH SR o stanovisko [DOPLNIŤ]. Nový výrobok alebo zmena konštrukcie = nová klasifikácia pred prvou ponukou.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5.2.3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nákupe sa evidujú klasifikácia a pôvod (US ECCN/USML) komponentov dodávateľa kvôli re-exportným obmedzeniam.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5.3 Sankčný screening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Screening všetkých strán transakcie – zákazník, koncový užívateľ, sprostredkovatelia, prepravca, banka, dodávateľ – pred ponukou, pred zmluvou, pred odoslaním a pred platbou; automatický re-screening pri aktualizácii zoznamov.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Potenciálna zhoda: zastavenie transakcie, preverenie CCO/ECO do [DOPLNIŤ] pracovných dní; potvrdená zhoda: STOP, zmrazenie prostriedkov podľa sankčného predpisu a oznámenie príslušnému orgánu podľa posúdenia Legal. Podrobný postup: SOP sankčného screeningu (D12).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5.3.3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Zakázané je obchádzanie sankcií cez tretie krajiny, sprostredkovateľov alebo rozdelenie zásielok.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5.4 Licencie a podmienky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Pred vývozom alebo transferom ECO overí potrebu licencie a jej typ; licencia musí byť platná v deň odoslania. Podmienky licencie (množstvo, hodnota, koncový užívateľ, doba) sa evidujú a ich čerpanie sa sleduje.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Dočasné vývozy (výstavy, testy) a opätovné dovozy podliehajú tomu istému posúdeniu.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5.4.3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Nehmotné prenosy technológií: technická dokumentácia kontrolovaných položiek sa ukladá len v zóne s riadeným prístupom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schéma 05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); sprístupnenie zahraničnej osobe (aj zamestnancovi alebo návštevníkovi) vyžaduje posúdenie ECO.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5.5 Koncový užívateľ a koncové použitie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5.5.1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každom vývoze mimo EÚ a pri rizikových transferoch sa vyžaduje EUC alebo vyhlásenie o konečnom použití v predpísanej forme, s doložkou o zákaze reexportu bez súhlasu.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5.5.2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Pri vývoze do tretích krajín (najmä položiek podľa čl. 12g nariadenia (EÚ) č. 833/2014) sa do zmluvy zaradí doložka „No Russia“ v rozsahu podľa posúdenia Legal.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5.5.3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ECO posúdi riziko diverzie a dodržanie kritérií Spoločnej pozície 2008/944/SZBP (ľudské práva, regionálna stabilita, riziko presmerovania) a zdokumentuje ho.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5.6 Red flags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Zákazník nevie alebo nechce uviesť koncové použitie alebo užívateľa; EUC je neúplný, nekonzistentný alebo podpísaný neoprávnenou osobou.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Neobvyklé trasy, tranzit cez krajiny známe obchádzaním sankcií, adresa dodania sklad / špeditér / voľná zóna.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Platba z tretej krajiny alebo od tretej osoby, platba v hotovosti, ochota zaplatiť nadštandardnú cenu.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Odmietnutie inštalácie, školenia alebo záručného servisu; požiadavka na nezvyčajné balenie alebo označenie.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Profil zákazníka nezodpovedá produktu alebo množstvu; nový zákazník bez histórie, prepojenie na sankcionované osoby.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Žiadosť o odstránenie výrobných čísel, zmenu popisu tovaru alebo HS kódu.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 red flag sa transakcia zastaví a eskaluje ECO; pokračovať možno len po písomnom vyriešení. Ak vznikne vedomosť o zakázanom koncovom použití, uplatní sa catch-all a ECO informuje MH SR.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5.7 Evidencia a uchovávanie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Licencie, EUC, klasifikácie, výsledky screeningu, prepravné a colné doklady sa uchovávajú najmenej po dobu stanovenú zákonom č. 392/2011 Z. z. a nariadením (EÚ) 2021/821 [DOPLNIŤ] (overí ECO), minimálne však [DOPLNIŤ] rokov.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5.7.2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Hlásenia a výkazy príslušným orgánom vypracúva ECO v lehotách podľa predpisov a licencií.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5.8 Porušenie a dobrovoľné oznámenie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5.8.1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Každé zistené alebo podozrivé porušenie sa hlási ECO a CCO bezodkladne. O dobrovoľnom oznámení orgánu rozhodne predstavenstvo na návrh Legal a ECO.</w:t>
      </w:r>
    </w:p>
    <w:p w:rsidR="00000000" w:rsidDel="00000000" w:rsidP="00000000" w:rsidRDefault="00000000" w:rsidRPr="00000000" w14:paraId="0000006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6. Role a zodpovednosti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Zodpovednosť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Menuje ECO, schvaľuje ICP, rozhoduje o výnimkách a dobrovoľných oznámeniach.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politiky a ICP; klasifikácia, licencie, end-user, export clearance, veto, školenia, hlásenia.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Sankčný screening (spoločne s ECO), integrácia s DD (Politika 17).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Výklad sankčných nariadení, zmluvné doložky, extrateritoriálne riziká.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Získava EUC a informácie o koncovom použití; nezačína rokovania s osobami zo sankcionovaných krajín bez ECO.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Logistika / Výroba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Neexpeduje bez export clearance; kontrola zhody tovaru s licenciou.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Neprijíma ani neodosiela platby bez screeningu; kontrola platobných red flags.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Technické kontroly prístupu k technickým dátam kontrolovaných položiek.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7. Kontroly a monitoring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1404"/>
        <w:gridCol w:w="1591.2"/>
        <w:gridCol w:w="2620.7999999999997"/>
        <w:tblGridChange w:id="0">
          <w:tblGrid>
            <w:gridCol w:w="3744"/>
            <w:gridCol w:w="1404"/>
            <w:gridCol w:w="1591.2"/>
            <w:gridCol w:w="2620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 / záznam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clearance pred každým odoslaním (100 %)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Každá zásielka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v systéme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Re-screening databázy partnerov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 aktualizácii zoznamov / min. týždenne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 nástroja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Zosúladenie čerpania licencií s expedíciami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klasifikácie kmeňových dát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+ technický útvar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Aktualizovaný zoznam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Audit ICP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 (interný) / podľa plánu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/ 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Školenie Obchod, Logistika, Nákup, R&amp;D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8. Porušenie politiky a sankcie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Porušenie tejto politiky sa posudzuje podľa závažnosti, úmyslu, opakovania, spôsobenej škody a súčinnosti dotknutej osoby. Skutočnosť, že porušenie bolo „v záujme spoločnosti“ alebo na pokyn nadriadeného, nie je ospravedlnením.</w:t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Osoba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Možné opatrenia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Porušenie pracovnej disciplíny podľa zákona č. 311/2001 Z. z. Zákonník práce: písomné upozornenie, zníženie alebo nepriznanie pohyblivej zložky mzdy podľa vnútorného predpisu [DOPLNIŤ], výpoveď alebo pri závažnom porušení okamžité skončenie pracovného pomeru; náhrada spôsobenej škody v rozsahu Zákonníka práce.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Vedúci zamestnanec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zamestnanec; navyše zodpovednosť za nedostatočný dohľad, ak porušenie umožnil, toleroval alebo neohlásil.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dozornou radou a valným zhromaždením podľa stanov [DOPLNIŤ]: odvolanie z funkcie, zodpovednosť za škodu podľa Obchodného zákonníka (§ 194), nepriznanie odmeny.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Externý spolupracovník, agent, dodávateľ, partner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Zmluvné sankcie podľa compliance doložky: pozastavenie plnenia a platieb, zmluvná pokuta [DOPLNIŤ EUR], odstúpenie od zmluvy alebo jej okamžité ukončenie, zaradenie do stavu ZAMIETNUTÝ v registri partnerov.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Všetci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 porušenie môže napĺňať znaky trestného činu alebo správneho deliktu, Legal posúdi oznámenie orgánom činným v trestnom konaní alebo príslušnému orgánu; spoločnosť si vyhradzuje uplatnenie nároku na náhradu škody.</w:t>
            </w:r>
          </w:p>
        </w:tc>
      </w:tr>
    </w:tbl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Vývoz bez licencie, vedomé porušenie sankcií alebo zatajenie red flag je závažné porušenie a môže zakladať trestnú zodpovednosť fyzickej aj právnickej osoby.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Disciplinárne opatrenie navrhuje vedúci zamestnanec s HR po stanovisku CCO (pri utajovaných skutočnostiach Bezpečnostný manažér, pri IT CISO); o opatrení voči členovi predstavenstva rozhoduje orgán podľa stanov.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Za porušenie sa nepovažuje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odmietnutie konania, ktoré by porušilo túto politiku, ani oznámenie podozrenia v dobrej viere – takáto osoba je chránená podľa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2"/>
            <w:szCs w:val="22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9. Súvisiace dokumenty a právny rámec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212"/>
        <w:gridCol w:w="5148"/>
        <w:tblGridChange w:id="0">
          <w:tblGrid>
            <w:gridCol w:w="4212"/>
            <w:gridCol w:w="51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Third-Party DD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ABAC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20 Utajované skutočnosti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Súvisiace politiky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07 JD ECO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·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Podpisový poriadok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kap. 3.5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Rola a schvaľovanie predaja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05 Dátové zóny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Ochrana technických dát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2021/821; zákon č. 39/2011 Z. z.; zákon č. 392/2011 Z. z.; zákon č. 289/2016 Z. z.; sankčné nariadenia Rady EÚ; Spoločná pozícia 2008/944/SZBP; odporúčanie (EÚ) 2019/1318 (ICP)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Nadradený rámec – organizácia, 3 línie, RACI, osnova politík (kap. 5)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26 INDEX politík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 všetkých politík a ich stav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10. Schválenie a účinnosť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Člen predstavenstva – gestor bezpečnosti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Výklad politiky poskytuje vlastník politiky. Výnimky z politiky môže udeliť len predstavenstvo písomne, na dobu určitú a s kompenzačnými opatreniami; každá výnimka sa eviduje v registri výnimiek CCO a reportuje dozornej rade.</w:t>
      </w:r>
    </w:p>
    <w:p w:rsidR="00000000" w:rsidDel="00000000" w:rsidP="00000000" w:rsidRDefault="00000000" w:rsidRPr="00000000" w14:paraId="000000C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4"/>
          <w:szCs w:val="34"/>
          <w:rtl w:val="0"/>
        </w:rPr>
        <w:t xml:space="preserve">Správa dokumentu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textu politiky (úloha D04 podľa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KR6yWpbcPSXMf7ShKL2XWJjclu36Obr0" TargetMode="External"/><Relationship Id="rId10" Type="http://schemas.openxmlformats.org/officeDocument/2006/relationships/hyperlink" Target="https://drive.google.com/drive/folders/1KR6yWpbcPSXMf7ShKL2XWJjclu36Obr0" TargetMode="External"/><Relationship Id="rId13" Type="http://schemas.openxmlformats.org/officeDocument/2006/relationships/hyperlink" Target="https://drive.google.com/drive/folders/1KR6yWpbcPSXMf7ShKL2XWJjclu36Obr0" TargetMode="External"/><Relationship Id="rId12" Type="http://schemas.openxmlformats.org/officeDocument/2006/relationships/hyperlink" Target="https://drive.google.com/drive/folders/1KR6yWpbcPSXMf7ShKL2XWJjclu36Obr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KR6yWpbcPSXMf7ShKL2XWJjclu36Obr0" TargetMode="External"/><Relationship Id="rId15" Type="http://schemas.openxmlformats.org/officeDocument/2006/relationships/hyperlink" Target="https://docs.google.com/document/d/14Av4KAvrf1_XVTAcGxETx64UQ11lmeGC9pVw7Vw4yiQ/edit" TargetMode="External"/><Relationship Id="rId14" Type="http://schemas.openxmlformats.org/officeDocument/2006/relationships/hyperlink" Target="https://docs.google.com/document/d/1KvYwlYO2e6qD5Y4YOaPD4w4L_IaYZBQU-MjV3SWdBmU/edit" TargetMode="External"/><Relationship Id="rId17" Type="http://schemas.openxmlformats.org/officeDocument/2006/relationships/hyperlink" Target="https://docs.google.com/document/d/1zOz-IPOs1SoTmKwQo6jDrqPL_NZk29Tl5oDKKSCup8o/edit" TargetMode="External"/><Relationship Id="rId16" Type="http://schemas.openxmlformats.org/officeDocument/2006/relationships/hyperlink" Target="https://drive.google.com/file/d/1reIAE5pKIrCx8LSJS0O9HLgr1AkkpgTF/view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w6zb_TucBxzuOFGUdUdNZOkZ-gutm3iQbxOMlVCkVJU/edit" TargetMode="External"/><Relationship Id="rId6" Type="http://schemas.openxmlformats.org/officeDocument/2006/relationships/hyperlink" Target="https://docs.google.com/document/d/1zOz-IPOs1SoTmKwQo6jDrqPL_NZk29Tl5oDKKSCup8o/edit" TargetMode="External"/><Relationship Id="rId18" Type="http://schemas.openxmlformats.org/officeDocument/2006/relationships/hyperlink" Target="https://drive.google.com/drive/folders/1KR6yWpbcPSXMf7ShKL2XWJjclu36Obr0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rive.google.com/file/d/1reIAE5pKIrCx8LSJS0O9HLgr1AkkpgTF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