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Politika informačnej bezpečnosti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IOTA Defence a.s. · ISMS · NIS2 platí · klasifikácia · MFA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>
          <w:b w:val="1"/>
          <w:bCs w:val="1"/>
          <w:color w:val="555555"/>
          <w:sz w:val="20"/>
          <w:szCs w:val="20"/>
        </w:rPr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IOTA Defence a.s. · </w:t>
      </w:r>
      <w:r w:rsidDel="00000000" w:rsidR="00000000" w:rsidRPr="00000000">
        <w:rPr>
          <w:b w:val="1"/>
          <w:bCs w:val="1"/>
          <w:color w:val="aa0000"/>
          <w:sz w:val="20"/>
          <w:szCs w:val="20"/>
          <w:rtl w:val="0"/>
        </w:rPr>
        <w:t xml:space="preserve">IČO 00000000 (FIKTÍVNE — pred zápisom do ORSR)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 · Verzia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0"/>
        </w:rPr>
        <w:t xml:space="preserve">1.1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 · 6. 10. 2026 · Márian Stančík · Interné – Dôverné · Stav: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0"/>
        </w:rPr>
        <w:t xml:space="preserve">NÁVRH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Rule="auto"/>
        <w:ind w:left="150" w:right="150" w:firstLine="0"/>
        <w:jc w:val="center"/>
        <w:rPr>
          <w:b w:val="1"/>
          <w:bCs w:val="1"/>
          <w:shd w:fill="fff3cd" w:val="clear"/>
        </w:rPr>
      </w:pPr>
      <w:r w:rsidDel="00000000" w:rsidR="00000000" w:rsidRPr="00000000">
        <w:rPr>
          <w:b w:val="1"/>
          <w:bCs w:val="1"/>
          <w:shd w:fill="fff3cd" w:val="clear"/>
          <w:rtl w:val="0"/>
        </w:rPr>
        <w:t xml:space="preserve">NÁVRH – NIE JE PRÁVNA RADA. NA SCHVÁLENIE PREDSTAVENSTVOM.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ind w:left="150" w:right="150" w:firstLine="0"/>
        <w:rPr>
          <w:shd w:fill="e8f4e8" w:val="clear"/>
        </w:rPr>
      </w:pPr>
      <w:r w:rsidDel="00000000" w:rsidR="00000000" w:rsidRPr="00000000">
        <w:rPr>
          <w:b w:val="1"/>
          <w:bCs w:val="1"/>
          <w:shd w:fill="e8f4e8" w:val="clear"/>
          <w:rtl w:val="0"/>
        </w:rPr>
        <w:t xml:space="preserve">STATUS 2026-10-06 (Legal GARANT P0):</w:t>
      </w:r>
      <w:r w:rsidDel="00000000" w:rsidR="00000000" w:rsidRPr="00000000">
        <w:rPr>
          <w:shd w:fill="e8f4e8" w:val="clear"/>
          <w:rtl w:val="0"/>
        </w:rPr>
        <w:t xml:space="preserve"> NIS2 </w:t>
      </w:r>
      <w:r w:rsidDel="00000000" w:rsidR="00000000" w:rsidRPr="00000000">
        <w:rPr>
          <w:b w:val="1"/>
          <w:bCs w:val="1"/>
          <w:shd w:fill="e8f4e8" w:val="clear"/>
          <w:rtl w:val="0"/>
        </w:rPr>
        <w:t xml:space="preserve">platí</w:t>
      </w:r>
      <w:r w:rsidDel="00000000" w:rsidR="00000000" w:rsidRPr="00000000">
        <w:rPr>
          <w:shd w:fill="e8f4e8" w:val="clear"/>
          <w:rtl w:val="0"/>
        </w:rPr>
        <w:t xml:space="preserve"> — spoločnosť je v pôsobnosti zákona č. 69/2018 Z. z. v znení zákona č. 366/2024 Z. z. (nie podmienené D05). Číslo dokumentu: </w:t>
      </w:r>
      <w:r w:rsidDel="00000000" w:rsidR="00000000" w:rsidRPr="00000000">
        <w:rPr>
          <w:b w:val="1"/>
          <w:bCs w:val="1"/>
          <w:shd w:fill="e8f4e8" w:val="clear"/>
          <w:rtl w:val="0"/>
        </w:rPr>
        <w:t xml:space="preserve">IOTA-POL-19</w:t>
      </w:r>
      <w:r w:rsidDel="00000000" w:rsidR="00000000" w:rsidRPr="00000000">
        <w:rPr>
          <w:shd w:fill="e8f4e8" w:val="clear"/>
          <w:rtl w:val="0"/>
        </w:rPr>
        <w:t xml:space="preserve"> (predtým DD-POL-19). Limity: L1=1 000 / L2=10 000 / L3=50 000 / L4=Predstavenstvo.</w:t>
      </w:r>
    </w:p>
    <w:tbl>
      <w:tblPr>
        <w:tblStyle w:val="Table1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Položka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Hodnota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Číslo dokumentu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IOTA-POL-19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Vlastník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CISO (A); IT prevádzka (R) podľa U-06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Schvaľuje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Predstavenstvo —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Mino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(priezvisko [DOPLNIŤ])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 vedomie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Dozorná rada: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Jano, Fero, Kamil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(priezviská [DOPLNIŤ])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Účinnosť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Dňom [DOPLNIŤ] po schválení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Účel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Chrániť dôvernosť, integritu a dostupnosť informácií a systémov; stanoviť minimálne záväzné bezpečnostné pravidlá a základ ISMS podľa ISO/IEC 27001:2022; plniť povinnosti podľa NIS2.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Rozsah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Všetky informácie, ICT, cloud, koncové zariadenia (vrátane BYOD), OT, priestory a osoby s prístupom. Rozsah ISMS na certifikáciu určí Predstavenstvo (U-13, R7).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NIS2 — záväzné (nie podmienene)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3.1</w:t>
      </w:r>
      <w:r w:rsidDel="00000000" w:rsidR="00000000" w:rsidRPr="00000000">
        <w:rPr>
          <w:rtl w:val="0"/>
        </w:rPr>
        <w:t xml:space="preserve"> Spoločnosť </w:t>
      </w:r>
      <w:r w:rsidDel="00000000" w:rsidR="00000000" w:rsidRPr="00000000">
        <w:rPr>
          <w:b w:val="1"/>
          <w:bCs w:val="1"/>
          <w:rtl w:val="0"/>
        </w:rPr>
        <w:t xml:space="preserve">je v pôsobnosti</w:t>
      </w:r>
      <w:r w:rsidDel="00000000" w:rsidR="00000000" w:rsidRPr="00000000">
        <w:rPr>
          <w:rtl w:val="0"/>
        </w:rPr>
        <w:t xml:space="preserve"> zákona č. 69/2018 Z. z. v znení zákona č. 366/2024 Z. z. (transpozícia smernice (EÚ) 2022/2555 — NIS2). Formálne posúdenie D05 a registrácia/hlásenia voči NBÚ sa dokladujú; rozhodnutie o pôsobnosti je </w:t>
      </w:r>
      <w:r w:rsidDel="00000000" w:rsidR="00000000" w:rsidRPr="00000000">
        <w:rPr>
          <w:b w:val="1"/>
          <w:bCs w:val="1"/>
          <w:rtl w:val="0"/>
        </w:rPr>
        <w:t xml:space="preserve">ÁNO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3.2</w:t>
      </w:r>
      <w:r w:rsidDel="00000000" w:rsidR="00000000" w:rsidRPr="00000000">
        <w:rPr>
          <w:rtl w:val="0"/>
        </w:rPr>
        <w:t xml:space="preserve"> Predstavenstvo (Mino) schvaľuje opatrenia riadenia kybernetických rizík, dohliada na ich zavedenie a absolvuje školenie z kybernetickej bezpečnosti.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3.3</w:t>
      </w:r>
      <w:r w:rsidDel="00000000" w:rsidR="00000000" w:rsidRPr="00000000">
        <w:rPr>
          <w:rtl w:val="0"/>
        </w:rPr>
        <w:t xml:space="preserve"> Hlásenia závažných kybernetických incidentov NBÚ: včasné varovanie do 24 h, hlásenie do 72 h, záverečná správa do 1 mesiaca — podľa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dok. 09 kap. 9</w:t>
        </w:r>
      </w:hyperlink>
      <w:r w:rsidDel="00000000" w:rsidR="00000000" w:rsidRPr="00000000">
        <w:rPr>
          <w:rtl w:val="0"/>
        </w:rPr>
        <w:t xml:space="preserve"> a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schémy 08b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Pravidlá (súhrn — plný text v1.0 ostáva základom)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Klasifikácia:</w:t>
      </w:r>
      <w:r w:rsidDel="00000000" w:rsidR="00000000" w:rsidRPr="00000000">
        <w:rPr>
          <w:rtl w:val="0"/>
        </w:rPr>
        <w:t xml:space="preserve"> VEREJNÉ / INTERNÉ / DÔVERNÉ / PRÍSNE DÔVERNÉ; utajované skutočnosti mimo bežných IT (Politika 20).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MFA povinná</w:t>
      </w:r>
      <w:r w:rsidDel="00000000" w:rsidR="00000000" w:rsidRPr="00000000">
        <w:rPr>
          <w:rtl w:val="0"/>
        </w:rPr>
        <w:t xml:space="preserve"> pre cloud, e-mail, VPN/VDI, privilegované účty, ERP, internetbanking, externých dodávateľov; phishing-odolná MFA pre privilegované a PRÍSNE DÔVERNÉ.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Prístupy need-to-know; PAM/JIT; offboarding v deň ukončenia.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Zálohy 3-2-1-1-0; logovanie SIEM; segmentácia; bezpečnosť dodávateľov.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Incidenty hlásiť okamžite na [DOPLNIŤ].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Role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Rola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Zodpovednosť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Predstavenstvo (Mino)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Politika, rizikový apetít, zdroje; NIS2 zodpovednosť vedenia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CISO (2. línia, A)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ISMS, dohľad, incidenty, hlásenia NBÚ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IT prevádzka (1. línia, R)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IAM, MFA, zálohy, záplaty, EDR, logovanie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DPO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Rozhranie na osobné údaje (IOTA-POL-23)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Schválenie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Funkcia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Meno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Podpis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Dátum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Predstavenstvo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Mino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(priezvisko [DOPLNIŤ])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 vedomie: Dozorná rada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Jano, Fero, Kamil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(priezviská [DOPLNIŤ])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Správa dokumentu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Verzia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Dátum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Popis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Prvý návrh (DD-POL-19); NIS2 podmienené D05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Nahradený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IOTA-POL-19; NIS2 platí; orgány Mino/Jano·Fero·Kamil; IČO FIKTÍVNE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NÁVRH</w:t>
            </w:r>
          </w:p>
        </w:tc>
      </w:tr>
    </w:tbl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" w:lineRule="auto"/>
        <w:ind w:left="0" w:right="0" w:firstLine="0"/>
        <w:rPr>
          <w:color w:val="666666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IOTA Defence a.s. · IOTA-POL-19 v1.1 · NÁVRH · 6. 10. 2026 · nahrádza 19_Policy-Information-Security v1.0</w:t>
      </w:r>
    </w:p>
    <w:sectPr>
      <w:pgSz w:h="15840" w:w="13980" w:orient="portrait"/>
      <w:pgMar w:bottom="1440" w:top="1440" w:left="240" w:right="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spacing w:after="360" w:before="360" w:line="348.0000114440918" w:lineRule="auto"/>
        <w:ind w:left="240" w:right="24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270" w:lineRule="auto"/>
      <w:ind w:left="0" w:right="0" w:firstLine="0"/>
    </w:pPr>
    <w:rPr>
      <w:b w:val="1"/>
      <w:bCs w:val="1"/>
      <w:i w:val="0"/>
      <w:iCs w:val="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h88dJv-OX-tX_I-MIDv8WOWzZ3lg8jK8Imy4isqvzRU/edit" TargetMode="External"/><Relationship Id="rId7" Type="http://schemas.openxmlformats.org/officeDocument/2006/relationships/hyperlink" Target="https://drive.google.com/file/d/130zfDGYC8n2Mvn3GnWXu5ihw2yoVwUez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