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  <w:rtl w:val="0"/>
        </w:rPr>
        <w:t xml:space="preserve">Politika ochrany utajovaných skutočností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  <w:rtl w:val="0"/>
        </w:rPr>
        <w:t xml:space="preserve">IOTA Defence a.s. · zákon č. 215/2004 Z. z. a vykonávacie predpisy NBÚ · priemyselná bezpečnosť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IOTA Defence a.s. · Verzia 1.0 · Dátum: 6. 10. 2026 · Vypracoval: Márian Stančík · Klasifikácia: Interné – Dôverné · Stav: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  <w:rtl w:val="0"/>
        </w:rPr>
        <w:t xml:space="preserve">NÁVRH</w:t>
      </w:r>
    </w:p>
    <w:tbl>
      <w:tblPr>
        <w:tblStyle w:val="Table1"/>
        <w:tblW w:w="9360.0" w:type="dxa"/>
        <w:jc w:val="left"/>
        <w:tblBorders>
          <w:top w:color="cd7f32" w:space="0" w:sz="12" w:val="single"/>
          <w:left w:color="cd7f32" w:space="0" w:sz="12" w:val="single"/>
          <w:bottom w:color="cd7f32" w:space="0" w:sz="12" w:val="single"/>
          <w:right w:color="cd7f32" w:space="0" w:sz="12" w:val="single"/>
          <w:insideH w:color="cd7f32" w:space="0" w:sz="12" w:val="single"/>
          <w:insideV w:color="cd7f32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7f32" w:space="0" w:sz="12" w:val="single"/>
              <w:left w:color="cd7f32" w:space="0" w:sz="12" w:val="single"/>
              <w:bottom w:color="cd7f32" w:space="0" w:sz="12" w:val="single"/>
              <w:right w:color="cd7f32" w:space="0" w:sz="12" w:val="single"/>
            </w:tcBorders>
            <w:shd w:fill="fbf1e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NÁVRH – NIE JE PRÁVNA RADA. NA SCHVÁLENIE PREDSTAVENSTVOM.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 Text je úplným návrhom politiky na schválenie predstavenstvom. Limity, mená, lehoty a sumy sú zámerne [DOPLNIŤ] / [DOPLNIŤ EUR]. Citácie predpisov overí advokát podľa znenia účinného ku dňu schválenia. Politika je súčasťou systému podľa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shd w:fill="auto" w:val="clear"/>
                  <w:rtl w:val="0"/>
                </w:rPr>
                <w:t xml:space="preserve">Rámca v1.1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. Politika je rámcová: konkrétne postupy, formuláre a terminológiu (napr. označenie chránených priestorov, administratívnych pomôcok, funkcií) stanovujú zákon č. 215/2004 Z. z. a vyhlášky NBÚ, ktoré majú vždy prednosť. Úplnosť a terminológiu overí bezpečnostný poradca s praxou v priemyselnej bezpečnosti pred schválením (U-11). Text neobsahuje žiadne utajované informácie.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Základné údaje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Položka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Hodnota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Číslo dokumentu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DD-POL-20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Vlastník politiky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manažér (gestor bezpečnosti v predstavenstve)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Schvaľuje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IOTA Defence a.s. uznesením č.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vedomie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Dozorná rada (štvrťročný report 2. línie podľa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Rámca v1.1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kap. 1.4)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Účinnosť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Dňom [DOPLNIŤ] (po schválení predstavenstvom)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Revízia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Najmenej raz ročne a pri podstatnej zmene právnej úpravy, obchodného modelu alebo po závažnom incidente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Klasifikácia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Interné – určené všetkým zamestnancom a dotknutým tretím stranám (dokument neobsahuje utajované skutočnosti)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1. Účel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Stanoviť záväzné zásady ochrany utajovaných skutočností (ďalej „US“), s ktorými sa spoločnosť oboznamuje pri plnení zmlúv pre štátne orgány, ozbrojené sily, NATO, EÚ a ich dodávateľov, a zabezpečiť plnenie podmienok bezpečnostnej previerky podnikateľa vydanej NBÚ.</w:t>
      </w:r>
    </w:p>
    <w:p w:rsidR="00000000" w:rsidDel="00000000" w:rsidP="00000000" w:rsidRDefault="00000000" w:rsidRPr="00000000" w14:paraId="0000001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2. Rozsah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Všetky US stupňov VYHRADENÉ, DÔVERNÉ, TAJNÉ a PRÍSNE TAJNÉ vrátane utajovaných informácií NATO, EÚ a iných štátov podľa medzinárodných zmlúv, v listinnej aj elektronickej podobe, ako aj utajované výrobky a ich časti.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Všetky osoby, ktoré sa s US oboznamujú alebo môžu oboznámiť, priestory, technické prostriedky a subdodávatelia zapojení do utajovaných zmlúv.</w:t>
      </w:r>
    </w:p>
    <w:p w:rsidR="00000000" w:rsidDel="00000000" w:rsidP="00000000" w:rsidRDefault="00000000" w:rsidRPr="00000000" w14:paraId="0000001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3. Definície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Pojem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Význam (orientačne; záväzné sú definície zákona)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Utajovaná skutočnosť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Informácia alebo vec určená pôvodcom, ktorú vzhľadom na záujem SR treba chrániť pred vyzradením, zneužitím, poškodením, neoprávneným rozmnožením, zničením alebo stratou.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Stupne utajenia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PRÍSNE TAJNÉ, TAJNÉ, DÔVERNÉ, VYHRADENÉ.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Oprávnená osoba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Osoba, ktorá spĺňa zákonné podmienky na oboznamovanie sa s US príslušného stupňa (vrátane bezpečnostnej previerky pre stupeň DÔVERNÉ a vyšší a poučenia), a bola určená na oboznamovanie 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Bezpečnostná previerka podnikateľa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Konanie NBÚ, ktorého výsledkom je potvrdenie o priemyselnej bezpečnosti podnikateľa pre príslušný stupeň.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Pôvodca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Orgán alebo osoba, ktorá určila informáciu za 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Need-to-know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Oboznámenie sa s US len v rozsahu nevyhnutnom na plnenie konkrétnej pracovnej úlohy.</w:t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4. Pravidlá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4.1 Organizácia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4.1.1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Predstavenstvo určí gestora bezpečnosti a vymenuje Bezpečnostného manažéra (a jeho zástupcu), ktorý spĺňa podmienky pre najvyšší stupeň US, s ktorým spoločnosť pracuje [DOPLNIŤ]. Bezpečnostný manažér má priamy prístup k predsedovi dozornej rady.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4.1.2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Spoločnosť vedie bezpečnostnú dokumentáciu (bezpečnostný projekt / plán ochrany a smernice) v rozsahu a forme podľa vykonávacích predpisov NBÚ; ich vypracovanie je úloha D10.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4.1.3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Spoločnosť neuzavrie zmluvu vyžadujúcu prístup k US skôr, ako má platné potvrdenie o priemyselnej bezpečnosti zodpovedajúceho stupňa, ak zákon alebo zmluva nepripúšťa inak.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4.2 Personálna bezpečnosť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4.2.1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Návrh na určenie oprávnenej osoby predkladá vedúci zamestnanec Bezpečnostnému manažérovi s odôvodnením need-to-know; Bezpečnostný manažér zabezpečí poučenie, podanie návrhu na bezpečnostnú previerku a evidenciu.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4.2.2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Oprávnené osoby oznamujú Bezpečnostnému manažérovi bez odkladu zmeny skutočností, ktoré môžu mať vplyv na bezpečnostnú spoľahlivosť (napr. trestné stíhanie, finančné problémy, kontakty s cudzími spravodajskými službami, zmena osobných pomerov) v rozsahu požadovanom zákonom.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4.2.3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Pri skončení pracovného pomeru alebo zmene pozície sa oprávnenie bezodkladne ukončí, US a pomôcky sa odovzdajú a postup sa zaznamená.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4.3 Administratívna bezpečnosť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4.3.1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 sa evidujú, označujú, rozmnožujú, prepravujú, ukladajú, zapožičiavajú a ničia výlučne podľa predpisov NBÚ a pokynov pôvodcu; vedie ich registratúra US [DOPLNIŤ].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4.3.2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 sa nesmú spracúvať, kopírovať ani fotografovať na bežných IT prostriedkoch, mobilných telefónoch ani v cloude, ani prenášať e-mailom.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4.3.3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Zákaz vynášania US mimo určených priestorov bez písomného súhlasu Bezpečnostného manažéra a bez predpísaného spôsobu prepravy.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4.4 Fyzická a objektová bezpečnosť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4.4.1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 sa spracúvajú a ukladajú len v priestoroch zabezpečených podľa stupňa utajenia (terminológia podľa vyhlášky NBÚ) s riadeným vstupom, evidenciou návštev a certifikovanými úschovnými objektmi.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4.4.2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Mobilné zariadenia a nahrávacie prostriedky sa do týchto priestorov nevnášajú; návštevy len v sprievode oprávnenej osoby.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4.5 Bezpečnosť technických prostriedkov a kryptografická ochrana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4.5.1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Elektronické spracúvanie US len na technických prostriedkoch certifikovaných NBÚ (alebo schválených podľa predpisov) a v rozsahu certifikátu; za technickú stránku zodpovedá Bezpečnostný manažér v súčinnosti s CISO.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4.5.2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Šifrovanie US len schválenými kryptografickými prostriedkami; kryptografické materiály spravujú len určené osoby.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4.6 Priemyselná bezpečnosť a subdodávatelia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4.6.1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Subdodávateľ, ktorý sa má oboznámiť s US, musí mať vlastné potvrdenie o priemyselnej bezpečnosti zodpovedajúceho stupňa a zmluvu s bezpečnostnými požiadavkami (bezpečnostná príloha zmluvy podľa požiadaviek objednávateľa); zapojenie podlieha súhlasu Bezpečnostného manažéra a podľa zmluvy aj objednávateľa.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4.6.2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Medzinárodné návštevy a prenos US do zahraničia sa vybavujú len cez postupy NBÚ (žiadosti o návštevu, schválená preprava).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4.7 Bezpečnostné incidenty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4.7.1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Každé podozrenie zo straty, vyzradenia, neoprávneného prístupu alebo zneužitia US sa hlási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okamžite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Bezpečnostnému manažérovi; ten zabezpečí hlásenie NBÚ a pôvodcovi v lehote a forme podľa predpisov a zmluvy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dok. 09 kap. 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4.7.2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Interné vyšetrovanie nesmie zmariť postup NBÚ ani orgánov činných v trestnom konaní; dôkazy sa zachovajú.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4.8 Komunikácia s NBÚ a reporting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4.8.1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Komunikáciu s NBÚ vedie Bezpečnostný manažér; predstavenstvo a dozornú radu informuje štvrťročne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výlučne v neutajovanej forme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(počty oprávnených osôb, stav previerok, incidenty bez obsahu US, audity).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4.8.2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Spoločnosť umožní kontroly NBÚ a poskytne súčinnosť.</w:t>
      </w:r>
    </w:p>
    <w:p w:rsidR="00000000" w:rsidDel="00000000" w:rsidP="00000000" w:rsidRDefault="00000000" w:rsidRPr="00000000" w14:paraId="0000004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5. Role a zodpovednosti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620.7999999999997"/>
        <w:gridCol w:w="6739.2"/>
        <w:tblGridChange w:id="0">
          <w:tblGrid>
            <w:gridCol w:w="2620.7999999999997"/>
            <w:gridCol w:w="6739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Rola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Zodpovednosť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Určuje gestora, menuje Bezpečnostného manažéra, zabezpečuje zdroje a priestory; nesie zodpovednosť za ochranu US v spoločnosti.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manažér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Vlastník politiky; personálna, administratívna, fyzická a objektová bezpečnosť, technické prostriedky (s CISO), priemyselná bezpečnosť, styk s NBÚ, hlásenia.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Oprávnené osoby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Dodržiavajú zákon, poučenie a pokyny; hlásia zmeny a incidenty.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Vedúci zamestnanci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Navrhujú oprávnené osoby len podľa need-to-know.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Súčinnosť pri technických prostriedkoch; oddelenie bežného IT od spracúvania 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HR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Informuje Bezpečnostného manažéra o nástupoch, zmenách a odchodoch.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audit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Overuje evidenciu US v neutajovanej forme / s oprávnenými audítormi.</w:t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6. Kontroly a monitoring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3744"/>
        <w:gridCol w:w="1404"/>
        <w:gridCol w:w="1591.2"/>
        <w:gridCol w:w="2620.7999999999997"/>
        <w:tblGridChange w:id="0">
          <w:tblGrid>
            <w:gridCol w:w="3744"/>
            <w:gridCol w:w="1404"/>
            <w:gridCol w:w="1591.2"/>
            <w:gridCol w:w="2620.79999999999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Kontrola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Frekvencia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Vlastník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Dôkaz / záznam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Inventúra evidencie US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Podľa predpisov NBÚ / min. 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manažér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Protokol inventúry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Zoznam oprávnených osôb vs. HR a need-to-know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manažér + HR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Aktualizovaný zoznam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Platnosť previerok osôb a podnikateľa (termíny obnovy)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Mesačne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manažér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Kalendár lehôt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Kontrola zabezpečených priestorov a úschovných objektov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manažér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Záznam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Školenie / poučenie oprávnených osôb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manažér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Evidencia</w:t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7. Porušenie politiky a sankcie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Porušenie tejto politiky sa posudzuje podľa závažnosti, úmyslu, opakovania, spôsobenej škody a súčinnosti dotknutej osoby. Skutočnosť, že porušenie bolo „v záujme spoločnosti“ alebo na pokyn nadriadeného, nie je ospravedlnením.</w:t>
      </w:r>
    </w:p>
    <w:tbl>
      <w:tblPr>
        <w:tblStyle w:val="Table6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620.7999999999997"/>
        <w:gridCol w:w="6739.2"/>
        <w:tblGridChange w:id="0">
          <w:tblGrid>
            <w:gridCol w:w="2620.7999999999997"/>
            <w:gridCol w:w="6739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Osoba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Možné opatrenia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Zamestnanec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Porušenie pracovnej disciplíny podľa zákona č. 311/2001 Z. z. Zákonník práce: písomné upozornenie, zníženie alebo nepriznanie pohyblivej zložky mzdy podľa vnútorného predpisu [DOPLNIŤ], výpoveď alebo pri závažnom porušení okamžité skončenie pracovného pomeru; náhrada spôsobenej škody v rozsahu Zákonníka práce.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Vedúci zamestnanec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Ako zamestnanec; navyše zodpovednosť za nedostatočný dohľad, ak porušenie umožnil, toleroval alebo neohlásil.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Posúdenie dozornou radou a valným zhromaždením podľa stanov [DOPLNIŤ]: odvolanie z funkcie, zodpovednosť za škodu podľa Obchodného zákonníka (§ 194), nepriznanie odmeny.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Externý spolupracovník, agent, dodávateľ, partner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Zmluvné sankcie podľa compliance doložky: pozastavenie plnenia a platieb, zmluvná pokuta [DOPLNIŤ EUR], odstúpenie od zmluvy alebo jej okamžité ukončenie, zaradenie do stavu ZAMIETNUTÝ v registri partnerov.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Všetci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 porušenie môže napĺňať znaky trestného činu alebo správneho deliktu, Legal posúdi oznámenie orgánom činným v trestnom konaní alebo príslušnému orgánu; spoločnosť si vyhradzuje uplatnenie nároku na náhradu škody.</w:t>
            </w:r>
          </w:p>
        </w:tc>
      </w:tr>
    </w:tbl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Porušenie povinností pri ochrane US môže zakladať aj správny delikt alebo trestný čin (napr. ohrozenie utajovanej skutočnosti podľa Trestného zákona) a stratu bezpečnostnej previerky; spoločnosti hrozí zrušenie potvrdenia o priemyselnej bezpečnosti.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Disciplinárne opatrenie navrhuje vedúci zamestnanec s HR po stanovisku CCO (pri utajovaných skutočnostiach Bezpečnostný manažér, pri IT CISO); o opatrení voči členovi predstavenstva rozhoduje orgán podľa stanov.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Za porušenie sa nepovažuje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odmietnutie konania, ktoré by porušilo túto politiku, ani oznámenie podozrenia v dobrej viere – takáto osoba je chránená podľa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Politiky 22 Whistleblowing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8. Súvisiace dokumenty a právny rámec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212"/>
        <w:gridCol w:w="5148"/>
        <w:tblGridChange w:id="0">
          <w:tblGrid>
            <w:gridCol w:w="4212"/>
            <w:gridCol w:w="51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Dokument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Väzba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07 JD Bezpečnostný manažér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19 Informačná bezpečnosť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25 Konzorciá a subdodávatelia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Súvisiace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09 Logovanie – tabuľka lehôt kap. 9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08b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Incidenty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 č. 215/2004 Z. z. o ochrane utajovaných skutočností a vykonávacie vyhlášky NBÚ; Bezpečnostné predpisy NATO a EÚ podľa medzinárodných zmlúv; Trestný zákon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Právny rámec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11 Rámec organizácia, compliance, bezpečnosť v1.1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Nadradený rámec – organizácia, 3 línie, RACI, osnova politík (kap. 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26 INDEX politík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Zoznam všetkých politík a ich stav</w:t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9. Schválenie a účinnosť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Funkcia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Meno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Podpis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Predseda predstavenstva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 – gestor compliance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 – gestor bezpečnosti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vedomie: predseda dozornej rady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Výklad politiky poskytuje vlastník politiky. Výnimky z politiky môže udeliť len predstavenstvo písomne, na dobu určitú a s kompenzačnými opatreniami; každá výnimka sa eviduje v registri výnimiek CCO a reportuje dozornej rade.</w:t>
      </w:r>
    </w:p>
    <w:p w:rsidR="00000000" w:rsidDel="00000000" w:rsidP="00000000" w:rsidRDefault="00000000" w:rsidRPr="00000000" w14:paraId="000000A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Správa dokumentu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Verzia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Popis zmeny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Prvý úplný návrh textu politiky (úloha D04 podľa </w:t>
            </w: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14 P0 STATUS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– na právnu revíziu a schválenie predstavenstvom</w:t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KR6yWpbcPSXMf7ShKL2XWJjclu36Obr0" TargetMode="External"/><Relationship Id="rId10" Type="http://schemas.openxmlformats.org/officeDocument/2006/relationships/hyperlink" Target="https://docs.google.com/document/d/1KvYwlYO2e6qD5Y4YOaPD4w4L_IaYZBQU-MjV3SWdBmU/edit" TargetMode="External"/><Relationship Id="rId13" Type="http://schemas.openxmlformats.org/officeDocument/2006/relationships/hyperlink" Target="https://docs.google.com/document/d/1h88dJv-OX-tX_I-MIDv8WOWzZ3lg8jK8Imy4isqvzRU/edit" TargetMode="External"/><Relationship Id="rId12" Type="http://schemas.openxmlformats.org/officeDocument/2006/relationships/hyperlink" Target="https://drive.google.com/drive/folders/1KR6yWpbcPSXMf7ShKL2XWJjclu36Obr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KR6yWpbcPSXMf7ShKL2XWJjclu36Obr0" TargetMode="External"/><Relationship Id="rId15" Type="http://schemas.openxmlformats.org/officeDocument/2006/relationships/hyperlink" Target="https://docs.google.com/document/d/1zOz-IPOs1SoTmKwQo6jDrqPL_NZk29Tl5oDKKSCup8o/edit" TargetMode="External"/><Relationship Id="rId14" Type="http://schemas.openxmlformats.org/officeDocument/2006/relationships/hyperlink" Target="https://drive.google.com/file/d/130zfDGYC8n2Mvn3GnWXu5ihw2yoVwUez/view" TargetMode="External"/><Relationship Id="rId17" Type="http://schemas.openxmlformats.org/officeDocument/2006/relationships/hyperlink" Target="https://docs.google.com/document/d/1w6zb_TucBxzuOFGUdUdNZOkZ-gutm3iQbxOMlVCkVJU/edit" TargetMode="External"/><Relationship Id="rId16" Type="http://schemas.openxmlformats.org/officeDocument/2006/relationships/hyperlink" Target="https://drive.google.com/drive/folders/1KR6yWpbcPSXMf7ShKL2XWJjclu36Obr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Oz-IPOs1SoTmKwQo6jDrqPL_NZk29Tl5oDKKSCup8o/edit" TargetMode="External"/><Relationship Id="rId7" Type="http://schemas.openxmlformats.org/officeDocument/2006/relationships/hyperlink" Target="https://docs.google.com/document/d/1zOz-IPOs1SoTmKwQo6jDrqPL_NZk29Tl5oDKKSCup8o/edit" TargetMode="External"/><Relationship Id="rId8" Type="http://schemas.openxmlformats.org/officeDocument/2006/relationships/hyperlink" Target="https://docs.google.com/document/d/1h88dJv-OX-tX_I-MIDv8WOWzZ3lg8jK8Imy4isqvzRU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