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Politika oznamovania protispoločenskej činnosti (Whistleblowing)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IOTA Defence a.s. · zákon č. 54/2019 Z. z. · zákon č. 189/2023 Z. z. · smernica (EÚ) 2019/1937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1.1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6. 10. 2026 · Márian Stančík · Interné – Dôverné · Stav: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NÁVRH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 (Legal GARANT P0):</w:t>
      </w:r>
      <w:r w:rsidDel="00000000" w:rsidR="00000000" w:rsidRPr="00000000">
        <w:rPr>
          <w:shd w:fill="e8f4e8" w:val="clear"/>
          <w:rtl w:val="0"/>
        </w:rPr>
        <w:t xml:space="preserve"> Citácia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zákona č. 189/2023 Z. z.</w:t>
      </w:r>
      <w:r w:rsidDel="00000000" w:rsidR="00000000" w:rsidRPr="00000000">
        <w:rPr>
          <w:shd w:fill="e8f4e8" w:val="clear"/>
          <w:rtl w:val="0"/>
        </w:rPr>
        <w:t xml:space="preserve"> doplnená vedľa 54/2019 Z. z. Prah vnútorného systému: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8f4e8" w:val="clear"/>
          <w:rtl w:val="0"/>
        </w:rPr>
        <w:t xml:space="preserve">≥ 50 zamestnancov</w:t>
      </w:r>
      <w:r w:rsidDel="00000000" w:rsidR="00000000" w:rsidRPr="00000000">
        <w:rPr>
          <w:shd w:fill="e8f4e8" w:val="clear"/>
          <w:rtl w:val="0"/>
        </w:rPr>
        <w:t xml:space="preserve"> alebo osobitný sektor (obrana / citlivé odvetvia) — Legal overí uplatnenie; spoločnosť zavádza vnútorný kanál ako dobrú prax a podľa sektora. Číslo: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IOTA-POL-22</w:t>
      </w:r>
      <w:r w:rsidDel="00000000" w:rsidR="00000000" w:rsidRPr="00000000">
        <w:rPr>
          <w:rFonts w:ascii="Arial Unicode MS" w:cs="Arial Unicode MS" w:eastAsia="Arial Unicode MS" w:hAnsi="Arial Unicode MS"/>
          <w:shd w:fill="e8f4e8" w:val="clear"/>
          <w:rtl w:val="0"/>
        </w:rPr>
        <w:t xml:space="preserve"> (predtým DD-POL-22). „Zodpovedná osoba“ ≠ DPO.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IOTA-POL-22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(koordinácia); zodpovedná osoba podľa zák. 54/2019 a 189/2023 Z. z. — [DOPLNIŤ meno]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Účel a právny rámec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 Umožniť bezpečné, dôverné a anonymné oznamovanie protispoločenskej činnosti; chrániť oznamovateľov pred odvetou.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Právny rámec: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zákon č. </w:t>
      </w:r>
      <w:r w:rsidDel="00000000" w:rsidR="00000000" w:rsidRPr="00000000">
        <w:rPr>
          <w:b w:val="1"/>
          <w:bCs w:val="1"/>
          <w:rtl w:val="0"/>
        </w:rPr>
        <w:t xml:space="preserve">54/2019 Z. z.</w:t>
      </w:r>
      <w:r w:rsidDel="00000000" w:rsidR="00000000" w:rsidRPr="00000000">
        <w:rPr>
          <w:rtl w:val="0"/>
        </w:rPr>
        <w:t xml:space="preserve"> o ochrane oznamovateľov protispoločenskej činnosti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zákon č. </w:t>
      </w:r>
      <w:r w:rsidDel="00000000" w:rsidR="00000000" w:rsidRPr="00000000">
        <w:rPr>
          <w:b w:val="1"/>
          <w:bCs w:val="1"/>
          <w:rtl w:val="0"/>
        </w:rPr>
        <w:t xml:space="preserve">189/2023 Z. z.</w:t>
      </w:r>
      <w:r w:rsidDel="00000000" w:rsidR="00000000" w:rsidRPr="00000000">
        <w:rPr>
          <w:rtl w:val="0"/>
        </w:rPr>
        <w:t xml:space="preserve"> (novela / úprava súvisiaca s transpozíciou smernice (EÚ) 2019/1937) — citáciu a účinné znenie overí Legal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smernica (EÚ) </w:t>
      </w:r>
      <w:r w:rsidDel="00000000" w:rsidR="00000000" w:rsidRPr="00000000">
        <w:rPr>
          <w:b w:val="1"/>
          <w:bCs w:val="1"/>
          <w:rtl w:val="0"/>
        </w:rPr>
        <w:t xml:space="preserve">2019/1937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1.3 Prah:</w:t>
      </w:r>
      <w:r w:rsidDel="00000000" w:rsidR="00000000" w:rsidRPr="00000000">
        <w:rPr>
          <w:rtl w:val="0"/>
        </w:rPr>
        <w:t xml:space="preserve"> Povinnosť zriadiť vnútorný systém vybavovania podnetov podľa zákona sa vzťahuje najmä na zamestnávateľov 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50 zamestnancami</w:t>
      </w:r>
      <w:r w:rsidDel="00000000" w:rsidR="00000000" w:rsidRPr="00000000">
        <w:rPr>
          <w:rtl w:val="0"/>
        </w:rPr>
        <w:t xml:space="preserve"> a na subjekty vo vybraných sektoroch (vrátane oblastí súvisiacich s obranou / bezpečnosťou — overí Legal). IOTA Defence a.s. zavádza vnútorný kanál </w:t>
      </w:r>
      <w:r w:rsidDel="00000000" w:rsidR="00000000" w:rsidRPr="00000000">
        <w:rPr>
          <w:b w:val="1"/>
          <w:bCs w:val="1"/>
          <w:rtl w:val="0"/>
        </w:rPr>
        <w:t xml:space="preserve">bez ohľadu na aktuálny počet zamestnancov</w:t>
      </w:r>
      <w:r w:rsidDel="00000000" w:rsidR="00000000" w:rsidRPr="00000000">
        <w:rPr>
          <w:rtl w:val="0"/>
        </w:rPr>
        <w:t xml:space="preserve"> ako súčasť compliance systému.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Rozsah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Podnet môžu podať zamestnanci, uchádzači, bývalí zamestnanci, členovia orgánov, akcionári, SZČO, dodávatelia, agenti atď. Predmet: korupcia, podvod, sankcie/export, US, kyber, VO, dane, GDPR, BOZP, Kódex.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Kanály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Kanál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Kontakt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Elektronická platforma (anonymná)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Pošta / osobne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Podnet proti Predstavenstvu / zodpovednej osobe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Priamo predseda DR (Jano/Fero/Kamil — kto je predseda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Externé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Úrad na ochranu oznamovateľov; OČTK; NBÚ, MH SR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Lehoty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Potvrdenie prijatia: do </w:t>
      </w:r>
      <w:r w:rsidDel="00000000" w:rsidR="00000000" w:rsidRPr="00000000">
        <w:rPr>
          <w:b w:val="1"/>
          <w:bCs w:val="1"/>
          <w:rtl w:val="0"/>
        </w:rPr>
        <w:t xml:space="preserve">7 dní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Preverenie: do </w:t>
      </w:r>
      <w:r w:rsidDel="00000000" w:rsidR="00000000" w:rsidRPr="00000000">
        <w:rPr>
          <w:b w:val="1"/>
          <w:bCs w:val="1"/>
          <w:rtl w:val="0"/>
        </w:rPr>
        <w:t xml:space="preserve">90 dní</w:t>
      </w:r>
      <w:r w:rsidDel="00000000" w:rsidR="00000000" w:rsidRPr="00000000">
        <w:rPr>
          <w:rtl w:val="0"/>
        </w:rPr>
        <w:t xml:space="preserve"> (predĺženie podľa zákona)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Evidencia: </w:t>
      </w:r>
      <w:r w:rsidDel="00000000" w:rsidR="00000000" w:rsidRPr="00000000">
        <w:rPr>
          <w:b w:val="1"/>
          <w:bCs w:val="1"/>
          <w:rtl w:val="0"/>
        </w:rPr>
        <w:t xml:space="preserve">3 roky</w:t>
      </w:r>
      <w:r w:rsidDel="00000000" w:rsidR="00000000" w:rsidRPr="00000000">
        <w:rPr>
          <w:rtl w:val="0"/>
        </w:rPr>
        <w:t xml:space="preserve"> od doručenia [DOPLNIŤ — overí Legal]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Schválenie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vedomie: 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DD-POL-22; len 54/2019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IOTA-POL-22; +189/2023; prah ≥50/sektor; orgány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IOTA-POL-22 v1.1 · NÁVRH · 6. 10. 2026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7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