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Politika ochrany osobných údajov (GDPR)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IOTA Defence a.s. · nariadenie (EÚ) 2016/679 · zákon č. 18/2018 Z. z. · DPO ÁNO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0" w:right="0" w:firstLine="0"/>
        <w:rPr>
          <w:b w:val="1"/>
          <w:bCs w:val="1"/>
          <w:color w:val="555555"/>
          <w:sz w:val="20"/>
          <w:szCs w:val="20"/>
        </w:rPr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IOTA Defence a.s. · </w:t>
      </w:r>
      <w:r w:rsidDel="00000000" w:rsidR="00000000" w:rsidRPr="00000000">
        <w:rPr>
          <w:b w:val="1"/>
          <w:bCs w:val="1"/>
          <w:color w:val="aa0000"/>
          <w:sz w:val="20"/>
          <w:szCs w:val="20"/>
          <w:rtl w:val="0"/>
        </w:rPr>
        <w:t xml:space="preserve">IČO 00000000 (FIKTÍVNE — pred zápisom do ORSR)</w:t>
      </w:r>
      <w:r w:rsidDel="00000000" w:rsidR="00000000" w:rsidRPr="00000000">
        <w:rPr>
          <w:color w:val="555555"/>
          <w:sz w:val="20"/>
          <w:szCs w:val="20"/>
          <w:rtl w:val="0"/>
        </w:rPr>
        <w:t xml:space="preserve"> · Verzia 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0"/>
        </w:rPr>
        <w:t xml:space="preserve">1.1</w:t>
      </w:r>
      <w:r w:rsidDel="00000000" w:rsidR="00000000" w:rsidRPr="00000000">
        <w:rPr>
          <w:color w:val="555555"/>
          <w:sz w:val="20"/>
          <w:szCs w:val="20"/>
          <w:rtl w:val="0"/>
        </w:rPr>
        <w:t xml:space="preserve"> · 6. 10. 2026 · Márian Stančík · Interné – Dôverné · Stav: 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0"/>
        </w:rPr>
        <w:t xml:space="preserve">NÁVRH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50" w:lineRule="auto"/>
        <w:ind w:left="150" w:right="150" w:firstLine="0"/>
        <w:jc w:val="center"/>
        <w:rPr>
          <w:b w:val="1"/>
          <w:bCs w:val="1"/>
          <w:shd w:fill="fff3cd" w:val="clear"/>
        </w:rPr>
      </w:pPr>
      <w:r w:rsidDel="00000000" w:rsidR="00000000" w:rsidRPr="00000000">
        <w:rPr>
          <w:b w:val="1"/>
          <w:bCs w:val="1"/>
          <w:shd w:fill="fff3cd" w:val="clear"/>
          <w:rtl w:val="0"/>
        </w:rPr>
        <w:t xml:space="preserve">NÁVRH – NIE JE PRÁVNA RADA. NA SCHVÁLENIE PREDSTAVENSTVOM.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50" w:lineRule="auto"/>
        <w:ind w:left="150" w:right="150" w:firstLine="0"/>
        <w:rPr>
          <w:shd w:fill="e8f4e8" w:val="clear"/>
        </w:rPr>
      </w:pPr>
      <w:r w:rsidDel="00000000" w:rsidR="00000000" w:rsidRPr="00000000">
        <w:rPr>
          <w:b w:val="1"/>
          <w:bCs w:val="1"/>
          <w:shd w:fill="e8f4e8" w:val="clear"/>
          <w:rtl w:val="0"/>
        </w:rPr>
        <w:t xml:space="preserve">STATUS 2026-10-06 (Legal GARANT P0):</w:t>
      </w:r>
      <w:r w:rsidDel="00000000" w:rsidR="00000000" w:rsidRPr="00000000">
        <w:rPr>
          <w:shd w:fill="e8f4e8" w:val="clear"/>
          <w:rtl w:val="0"/>
        </w:rPr>
        <w:t xml:space="preserve"> Spoločnosť </w:t>
      </w:r>
      <w:r w:rsidDel="00000000" w:rsidR="00000000" w:rsidRPr="00000000">
        <w:rPr>
          <w:b w:val="1"/>
          <w:bCs w:val="1"/>
          <w:shd w:fill="e8f4e8" w:val="clear"/>
          <w:rtl w:val="0"/>
        </w:rPr>
        <w:t xml:space="preserve">bude mať DPO</w:t>
      </w:r>
      <w:r w:rsidDel="00000000" w:rsidR="00000000" w:rsidRPr="00000000">
        <w:rPr>
          <w:shd w:fill="e8f4e8" w:val="clear"/>
          <w:rtl w:val="0"/>
        </w:rPr>
        <w:t xml:space="preserve"> (rozhodnutie ÁNO — nie „R5 / posúdi Legal“). Meno DPO: </w:t>
      </w:r>
      <w:r w:rsidDel="00000000" w:rsidR="00000000" w:rsidRPr="00000000">
        <w:rPr>
          <w:b w:val="1"/>
          <w:bCs w:val="1"/>
          <w:shd w:fill="e8f4e8" w:val="clear"/>
          <w:rtl w:val="0"/>
        </w:rPr>
        <w:t xml:space="preserve">[DOPLNIŤ]</w:t>
      </w:r>
      <w:r w:rsidDel="00000000" w:rsidR="00000000" w:rsidRPr="00000000">
        <w:rPr>
          <w:shd w:fill="e8f4e8" w:val="clear"/>
          <w:rtl w:val="0"/>
        </w:rPr>
        <w:t xml:space="preserve">. Číslo: </w:t>
      </w:r>
      <w:r w:rsidDel="00000000" w:rsidR="00000000" w:rsidRPr="00000000">
        <w:rPr>
          <w:b w:val="1"/>
          <w:bCs w:val="1"/>
          <w:shd w:fill="e8f4e8" w:val="clear"/>
          <w:rtl w:val="0"/>
        </w:rPr>
        <w:t xml:space="preserve">IOTA-POL-23</w:t>
      </w:r>
      <w:r w:rsidDel="00000000" w:rsidR="00000000" w:rsidRPr="00000000">
        <w:rPr>
          <w:shd w:fill="e8f4e8" w:val="clear"/>
          <w:rtl w:val="0"/>
        </w:rPr>
        <w:t xml:space="preserve"> (predtým DD-POL-23). „Zodpovedná osoba (DPO)“ podľa GDPR ≠ zodpovedná osoba podľa zák. 54/2019 / 189/2023 (whistleblowing).</w:t>
      </w:r>
    </w:p>
    <w:tbl>
      <w:tblPr>
        <w:tblStyle w:val="Table1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Položka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Hodnota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Číslo dokumentu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IOTA-POL-23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Vlastník politiky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DPO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— meno [DOPLNIŤ]; do menovania koordinuje CCO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Schvaľuje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Predstavenstvo —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Mino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(priezvisko [DOPLNIŤ])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Na vedomie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DR: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Jano, Fero, Kamil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(priezviská [DOPLNIŤ])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Účel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Zákonné, spravodlivé a transparentné spracúvanie osobných údajov a preukázateľný súlad (čl. 5 ods. 2 GDPR).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DPO — záväzné rozhodnutie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2.1</w:t>
      </w:r>
      <w:r w:rsidDel="00000000" w:rsidR="00000000" w:rsidRPr="00000000">
        <w:rPr>
          <w:rtl w:val="0"/>
        </w:rPr>
        <w:t xml:space="preserve"> Predstavenstvo rozhodlo, že spoločnosť </w:t>
      </w:r>
      <w:r w:rsidDel="00000000" w:rsidR="00000000" w:rsidRPr="00000000">
        <w:rPr>
          <w:b w:val="1"/>
          <w:bCs w:val="1"/>
          <w:rtl w:val="0"/>
        </w:rPr>
        <w:t xml:space="preserve">určí zodpovednú osobu (DPO)</w:t>
      </w:r>
      <w:r w:rsidDel="00000000" w:rsidR="00000000" w:rsidRPr="00000000">
        <w:rPr>
          <w:rtl w:val="0"/>
        </w:rPr>
        <w:t xml:space="preserve"> podľa čl. 37 GDPR a zákona č. 18/2018 Z. z.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2.2</w:t>
      </w:r>
      <w:r w:rsidDel="00000000" w:rsidR="00000000" w:rsidRPr="00000000">
        <w:rPr>
          <w:rtl w:val="0"/>
        </w:rPr>
        <w:t xml:space="preserve"> Meno DPO: </w:t>
      </w:r>
      <w:r w:rsidDel="00000000" w:rsidR="00000000" w:rsidRPr="00000000">
        <w:rPr>
          <w:b w:val="1"/>
          <w:bCs w:val="1"/>
          <w:rtl w:val="0"/>
        </w:rPr>
        <w:t xml:space="preserve">[DOPLNIŤ]</w:t>
      </w:r>
      <w:r w:rsidDel="00000000" w:rsidR="00000000" w:rsidRPr="00000000">
        <w:rPr>
          <w:rtl w:val="0"/>
        </w:rPr>
        <w:t xml:space="preserve">. Menovací dekrét: U-10. Kontakt DPO zverejniť (intranet, web, informačné dokumenty).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2.3</w:t>
      </w:r>
      <w:r w:rsidDel="00000000" w:rsidR="00000000" w:rsidRPr="00000000">
        <w:rPr>
          <w:rtl w:val="0"/>
        </w:rPr>
        <w:t xml:space="preserve"> DPO je nezávislý podľa čl. 38 GDPR; reportuje Predstavenstvu (gestor compliance); priamy prístup k Predstavenstvu a pri potrebe k predsedovi DR.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2.4</w:t>
      </w:r>
      <w:r w:rsidDel="00000000" w:rsidR="00000000" w:rsidRPr="00000000">
        <w:rPr>
          <w:rtl w:val="0"/>
        </w:rPr>
        <w:t xml:space="preserve"> Úlohy DPO: ZSČ (čl. 30), DPIA (čl. 35), žiadosti dotknutých, porušenia (čl. 33–34 — ÚOOÚ do 72 h), školenia, kontakt s ÚOOÚ SR.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Pravidlá (súhrn)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Každé spracúvanie: účel + právny základ (čl. 6 / 9) v ZSČ; nové spracúvanie konzultovať s DPO pred spustením.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Minimalizácia, retencia podľa plánu [DOPLNIŤ], bezpečnosť podľa IOTA-POL-19 (osobné údaje = min. DÔVERNÉ).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Žiadosti dotknutých: do 1 mesiaca na [DOPLNIŤ].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Sprostredkovatelia: zmluva čl. 28; prenosy mimo EÚ/EHP len s kapitolou V GDPR.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Porušenie ochrany: okamžite DPO + CISO; ÚOOÚ do 72 h pri riziku.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Role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Rola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Zodpovednosť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Predstavenstvo (Mino)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Prevádzkovateľ; určuje DPO; zdroje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DPO [DOPLNIŤ]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Vlastník politiky; ZSČ, DPIA, žiadosti, porušenia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CISO / HR / Legal / vlastníci procesov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Ako v Rámci v1.1 RACI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Schválenie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Funkcia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Meno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Podpis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Dátum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Predstavenstvo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Mino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(priezvisko [DOPLNIŤ])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Na vedomie: Dozorná rada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Jano, Fero, Kamil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(priezviská [DOPLNIŤ])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Správa dokumentu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Verzia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Dátum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Popis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Stav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1.0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6. 10. 2026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DD-POL-23; DPO „posúdi Legal (R5)“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Nahradený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1.1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6. 10. 2026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IOTA-POL-23; DPO ÁNO (meno [DOPLNIŤ]); orgány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NÁVRH</w:t>
            </w:r>
          </w:p>
        </w:tc>
      </w:tr>
    </w:tbl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" w:lineRule="auto"/>
        <w:ind w:left="0" w:right="0" w:firstLine="0"/>
        <w:rPr>
          <w:color w:val="666666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IOTA Defence a.s. · IOTA-POL-23 v1.1 · NÁVRH · 6. 10. 2026</w:t>
      </w:r>
    </w:p>
    <w:sectPr>
      <w:pgSz w:h="15840" w:w="13980" w:orient="portrait"/>
      <w:pgMar w:bottom="1440" w:top="1440" w:left="240" w:right="2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>
      <w:pPr>
        <w:widowControl w:val="0"/>
        <w:spacing w:after="360" w:before="360" w:line="348.0000114440918" w:lineRule="auto"/>
        <w:ind w:left="240" w:right="24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85" w:before="270" w:lineRule="auto"/>
      <w:ind w:left="0" w:right="0" w:firstLine="0"/>
    </w:pPr>
    <w:rPr>
      <w:b w:val="1"/>
      <w:bCs w:val="1"/>
      <w:i w:val="0"/>
      <w:iCs w:val="0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