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Politika AML/KYC – predchádzanie legalizácii a financovaniu terorizmu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IOTA Defence a.s. · povinná osoba · zákon č. 297/2008 Z. z. · plný AML režim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b w:val="1"/>
          <w:bCs w:val="1"/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IOTA Defence a.s. · </w:t>
      </w:r>
      <w:r w:rsidDel="00000000" w:rsidR="00000000" w:rsidRPr="00000000">
        <w:rPr>
          <w:b w:val="1"/>
          <w:bCs w:val="1"/>
          <w:color w:val="aa0000"/>
          <w:sz w:val="20"/>
          <w:szCs w:val="20"/>
          <w:rtl w:val="0"/>
        </w:rPr>
        <w:t xml:space="preserve">IČO 00000000 (FIKTÍVNE — pred zápisom do ORSR)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Verzia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1.1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 · 6. 10. 2026 · Márian Stančík · Interné – Dôverné · Stav: </w:t>
      </w:r>
      <w:r w:rsidDel="00000000" w:rsidR="00000000" w:rsidRPr="00000000">
        <w:rPr>
          <w:b w:val="1"/>
          <w:bCs w:val="1"/>
          <w:color w:val="555555"/>
          <w:sz w:val="20"/>
          <w:szCs w:val="20"/>
          <w:rtl w:val="0"/>
        </w:rPr>
        <w:t xml:space="preserve">NÁVRH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Rule="auto"/>
        <w:ind w:left="150" w:right="150" w:firstLine="0"/>
        <w:jc w:val="center"/>
        <w:rPr>
          <w:b w:val="1"/>
          <w:bCs w:val="1"/>
          <w:shd w:fill="fff3cd" w:val="clear"/>
        </w:rPr>
      </w:pPr>
      <w:r w:rsidDel="00000000" w:rsidR="00000000" w:rsidRPr="00000000">
        <w:rPr>
          <w:b w:val="1"/>
          <w:bCs w:val="1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>
          <w:shd w:fill="fdecea" w:val="clear"/>
        </w:rPr>
      </w:pPr>
      <w:r w:rsidDel="00000000" w:rsidR="00000000" w:rsidRPr="00000000">
        <w:rPr>
          <w:b w:val="1"/>
          <w:bCs w:val="1"/>
          <w:shd w:fill="fdecea" w:val="clear"/>
          <w:rtl w:val="0"/>
        </w:rPr>
        <w:t xml:space="preserve">ROZHODNUTIE 2026-10-06:</w:t>
      </w:r>
      <w:r w:rsidDel="00000000" w:rsidR="00000000" w:rsidRPr="00000000">
        <w:rPr>
          <w:shd w:fill="fdecea" w:val="clear"/>
          <w:rtl w:val="0"/>
        </w:rPr>
        <w:t xml:space="preserve"> Spoločnosť uplatňuje </w:t>
      </w:r>
      <w:r w:rsidDel="00000000" w:rsidR="00000000" w:rsidRPr="00000000">
        <w:rPr>
          <w:b w:val="1"/>
          <w:bCs w:val="1"/>
          <w:shd w:fill="fdecea" w:val="clear"/>
          <w:rtl w:val="0"/>
        </w:rPr>
        <w:t xml:space="preserve">plný AML režim</w:t>
      </w:r>
      <w:r w:rsidDel="00000000" w:rsidR="00000000" w:rsidRPr="00000000">
        <w:rPr>
          <w:shd w:fill="fdecea" w:val="clear"/>
          <w:rtl w:val="0"/>
        </w:rPr>
        <w:t xml:space="preserve"> ako </w:t>
      </w:r>
      <w:r w:rsidDel="00000000" w:rsidR="00000000" w:rsidRPr="00000000">
        <w:rPr>
          <w:b w:val="1"/>
          <w:bCs w:val="1"/>
          <w:shd w:fill="fdecea" w:val="clear"/>
          <w:rtl w:val="0"/>
        </w:rPr>
        <w:t xml:space="preserve">povinná osoba</w:t>
      </w:r>
      <w:r w:rsidDel="00000000" w:rsidR="00000000" w:rsidRPr="00000000">
        <w:rPr>
          <w:shd w:fill="fdecea" w:val="clear"/>
          <w:rtl w:val="0"/>
        </w:rPr>
        <w:t xml:space="preserve"> podľa zákona č. </w:t>
      </w:r>
      <w:r w:rsidDel="00000000" w:rsidR="00000000" w:rsidRPr="00000000">
        <w:rPr>
          <w:b w:val="1"/>
          <w:bCs w:val="1"/>
          <w:shd w:fill="fdecea" w:val="clear"/>
          <w:rtl w:val="0"/>
        </w:rPr>
        <w:t xml:space="preserve">297/2008 Z. z.</w:t>
      </w:r>
      <w:r w:rsidDel="00000000" w:rsidR="00000000" w:rsidRPr="00000000">
        <w:rPr>
          <w:shd w:fill="fdecea" w:val="clear"/>
          <w:rtl w:val="0"/>
        </w:rPr>
        <w:t xml:space="preserve"> o ochrane pred legalizáciou príjmov z trestnej činnosti a o ochrane pred financovaním terorizmu. Toto nahrádza predchádzajúci text „pravdepodobne NIE je povinnou osobou / dobrovoľný štandard KYC“. Presnú kategóriu povinnej osoby (napr. obchodník so zbraňami / tovarom osobitného charakteru / iná) potvrdí Legal v stanovisku — režim sa však </w:t>
      </w:r>
      <w:r w:rsidDel="00000000" w:rsidR="00000000" w:rsidRPr="00000000">
        <w:rPr>
          <w:b w:val="1"/>
          <w:bCs w:val="1"/>
          <w:shd w:fill="fdecea" w:val="clear"/>
          <w:rtl w:val="0"/>
        </w:rPr>
        <w:t xml:space="preserve">už teraz</w:t>
      </w:r>
      <w:r w:rsidDel="00000000" w:rsidR="00000000" w:rsidRPr="00000000">
        <w:rPr>
          <w:shd w:fill="fdecea" w:val="clear"/>
          <w:rtl w:val="0"/>
        </w:rPr>
        <w:t xml:space="preserve"> uplatňuje ako plný.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150" w:right="150" w:firstLine="0"/>
        <w:rPr>
          <w:shd w:fill="e8f4e8" w:val="clear"/>
        </w:rPr>
      </w:pPr>
      <w:r w:rsidDel="00000000" w:rsidR="00000000" w:rsidRPr="00000000">
        <w:rPr>
          <w:shd w:fill="e8f4e8" w:val="clear"/>
          <w:rtl w:val="0"/>
        </w:rPr>
        <w:t xml:space="preserve">Číslo: </w:t>
      </w:r>
      <w:r w:rsidDel="00000000" w:rsidR="00000000" w:rsidRPr="00000000">
        <w:rPr>
          <w:b w:val="1"/>
          <w:bCs w:val="1"/>
          <w:shd w:fill="e8f4e8" w:val="clear"/>
          <w:rtl w:val="0"/>
        </w:rPr>
        <w:t xml:space="preserve">IOTA-POL-24</w:t>
      </w:r>
      <w:r w:rsidDel="00000000" w:rsidR="00000000" w:rsidRPr="00000000">
        <w:rPr>
          <w:shd w:fill="e8f4e8" w:val="clear"/>
          <w:rtl w:val="0"/>
        </w:rPr>
        <w:t xml:space="preserve"> (predtým DD-POL-24). Limity platieb viazané na </w:t>
      </w:r>
      <w:hyperlink r:id="rId6">
        <w:r w:rsidDel="00000000" w:rsidR="00000000" w:rsidRPr="00000000">
          <w:rPr>
            <w:color w:val="0000ee"/>
            <w:u w:val="single"/>
            <w:shd w:fill="e8f4e8" w:val="clear"/>
            <w:rtl w:val="0"/>
          </w:rPr>
          <w:t xml:space="preserve">Limity schvaľovania v1.2</w:t>
        </w:r>
      </w:hyperlink>
      <w:r w:rsidDel="00000000" w:rsidR="00000000" w:rsidRPr="00000000">
        <w:rPr>
          <w:shd w:fill="e8f4e8" w:val="clear"/>
          <w:rtl w:val="0"/>
        </w:rPr>
        <w:t xml:space="preserve"> (L1=1 000 / L2=10 000 / L3=50 000 / L4=Predstavenstvo).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Položka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Číslo dokumentu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IOTA-POL-24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Vlastník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 (AML compliance officer / poverená osoba [DOPLNIŤ])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—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(priezvisko [DOPLNIŤ])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 vedomie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DR: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Jano, Fero, Kamil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(priezviská [DOPLNIŤ])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Status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Povinná osoba — plný režim platí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Účel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Zabrániť zneužitiu spoločnosti na legalizáciu príjmov z trestnej činnosti, financovanie terorizmu a šírenie ZHN; plniť povinnosti povinnej osoby podľa zák. 297/2008 Z. z.; zabezpečiť KYC, CDD/EDD, identifikáciu KUV, monitoring a hlásenie neobvyklých obchodných operácií (NOO) Finančnej spravodajskej jednotke (FSJ).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Rozsah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Všetky prichádzajúce a odchádzajúce platby; zákazníci, odberatelia, distribútori, agenti, partneri; najmä transakcie mimo EÚ a akékoľvek hotovostné operácie.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Definície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Pojem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Význam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Povinná osoba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IOTA Defence a.s. podľa zák. 297/2008 Z. z. (kategóriu potvrdí Legal)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KUV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Konečný užívateľ výhod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PEP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Politicky exponovaná osoba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Neobvyklá obchodná operácia — ohlasuje sa FSJ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CDD / EDD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Customer Due Diligence / Enhanced Due Diligence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Pravidlá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4.1 Program vlastnej činnosti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CCO vypracuje a Predstavenstvo schváli </w:t>
      </w:r>
      <w:r w:rsidDel="00000000" w:rsidR="00000000" w:rsidRPr="00000000">
        <w:rPr>
          <w:b w:val="1"/>
          <w:bCs w:val="1"/>
          <w:rtl w:val="0"/>
        </w:rPr>
        <w:t xml:space="preserve">program vlastnej činnosti</w:t>
      </w:r>
      <w:r w:rsidDel="00000000" w:rsidR="00000000" w:rsidRPr="00000000">
        <w:rPr>
          <w:rtl w:val="0"/>
        </w:rPr>
        <w:t xml:space="preserve"> podľa zák. 297/2008 Z. z. (posúdenie rizík, CDD/EDD, uchovávanie, školenia, vnútorná kontrola, hlásenie NOO). Termín: [DOPLNIŤ].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KYC / CDD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Identifikácia a overenie zákazníka a KUV — súčasť DD (Politika 17, kroky 2–4); pred vznikom obchodného vzťahu.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Pri vysokom riziku: EDD vrátane zdroja prostriedkov; schvaľuje CCO, pri vysokom riziku Predstavenstvo (Mino).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PEP: vždy CCO; vysoké riziko → Predstavenstvo.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Priebežné monitorovanie; re-previerka podľa rizikového skóre.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Platobné pravidlá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Len bezhotovostne z/na účet zmluvnej strany v banke v krajine sídla alebo EÚ; platba od tretej osoby len so schválením CCO + písomným zdôvodnením.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Hotovosť: zakázaná agentom vždy; inak max. podľa zák. 394/2012 Z. z. a limitu [DOPLNIŤ EUR] — delenie zakázané.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Vrátenie preplatku len na pôvodný účet.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Zmena IBAN: overenie podľa P2P; nad </w:t>
      </w:r>
      <w:r w:rsidDel="00000000" w:rsidR="00000000" w:rsidRPr="00000000">
        <w:rPr>
          <w:b w:val="1"/>
          <w:bCs w:val="1"/>
          <w:rtl w:val="0"/>
        </w:rPr>
        <w:t xml:space="preserve">10 000 EUR</w:t>
      </w:r>
      <w:r w:rsidDel="00000000" w:rsidR="00000000" w:rsidRPr="00000000">
        <w:rPr>
          <w:rtl w:val="0"/>
        </w:rPr>
        <w:t xml:space="preserve"> aj vedúci Financií (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Limity v1.2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Platby podľa limitov L1–L4 (1 000 / 10 000 / 50 000 / Predstavenstvo).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Red flags → pozastavenie + CCO + zákaz tipovania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Nejasná štruktúra, schránky, odmietnutie KUV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Platby z/do vysokorizikových krajín (EÚ zoznam, FATF), od tretích osôb, z viacerých účtov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Preplatky s vrátením inam, delenie faktúr, rýchle platby vopred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Nesúlad profilu a objemu; krypto mimo bankového systému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Pri red flag: transakcia STOP → CCO → s Legal rozhodnutie o hlásení NOO FSJ / OČTK. </w:t>
      </w:r>
      <w:r w:rsidDel="00000000" w:rsidR="00000000" w:rsidRPr="00000000">
        <w:rPr>
          <w:b w:val="1"/>
          <w:bCs w:val="1"/>
          <w:rtl w:val="0"/>
        </w:rPr>
        <w:t xml:space="preserve">Zákaz tipovania</w:t>
      </w:r>
      <w:r w:rsidDel="00000000" w:rsidR="00000000" w:rsidRPr="00000000">
        <w:rPr>
          <w:rtl w:val="0"/>
        </w:rPr>
        <w:t xml:space="preserve"> (zákazník sa o hlásení neinformuje).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4.5 Evidencia a uchovávanie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Doklady KYC/CDD/EDD a o platbách sa uchovávajú najmenej </w:t>
      </w:r>
      <w:r w:rsidDel="00000000" w:rsidR="00000000" w:rsidRPr="00000000">
        <w:rPr>
          <w:b w:val="1"/>
          <w:bCs w:val="1"/>
          <w:rtl w:val="0"/>
        </w:rPr>
        <w:t xml:space="preserve">5 rokov</w:t>
      </w:r>
      <w:r w:rsidDel="00000000" w:rsidR="00000000" w:rsidRPr="00000000">
        <w:rPr>
          <w:rtl w:val="0"/>
        </w:rPr>
        <w:t xml:space="preserve"> od ukončenia vzťahu / transakcie (alebo podľa aktuálneho znenia zák. 297/2008 — overí Legal) [DOPLNIŤ].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4.6 Školenia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Povinné AML školenie pri nástupe a ročne pre Obchod, Nákup, Financie, Predstavenstvo; evidencia HR.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4.7 AMLR výhľad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CCO sleduje nariadenie (EÚ) 2024/1624 (AMLR) a dopad na slovenskú úpravu; posúdenie do [DOPLNIŤ].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Role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Rola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Zodpovednosť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 (Mino)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Schvaľuje program vlastnej činnosti; vysokorizikové vzťahy; tone from the top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Vlastník politiky; CDD/EDD; red flags; hlásenie NOO s Legal; školenia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Kontrola platiteľa, zákaz hotovosti, IBAN, eskalácia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Obchod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Zber KYC podkladov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Kategória povinnej osoby; oznamovacie povinnosti; FSJ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DR (Jano, Fero, Kamil)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Štvrťročný report AML KPI/KRI (anonymizovane)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Kontroly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Kontrola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Frekvencia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Vlastník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Platiteľ = zmluvná strana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mesačne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Hotovosť (cieľ: nula nad limit)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mesačne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Financie /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Vzorka KYC spisov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polročne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Aktualizácia programu vlastnej činnosti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ročne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CCO / Predstavenstvo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Stanovisko Legal k kategórii povinnej osoby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ročne / pri zmene modelu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Schválenie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Funkcia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Meno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Podpis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Mino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(priezvisko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 vedomie: Dozorná rada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Jano, Fero, Kamil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(priezviská [DOPLNIŤ])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Väzby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 Limity schvaľovania v1.2</w:t>
        </w:r>
      </w:hyperlink>
      <w:r w:rsidDel="00000000" w:rsidR="00000000" w:rsidRPr="00000000">
        <w:rPr>
          <w:rtl w:val="0"/>
        </w:rPr>
        <w:t xml:space="preserve"> (nahrádza starý dok. 12 id 14Av4KAv…)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Politika 17 Third-Party DD · 18 Sankcie/Export · 16 ABAC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Zákon č. 297/2008 Z. z.; 394/2012 Z. z.; Trestný zákon; nariadenie (EÚ) 2024/1624; FATF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Správa dokumentu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Verzia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Popis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eee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shd w:fill="auto" w:val="clear"/>
                <w:vertAlign w:val="baseline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DD-POL-24; „pravdepodobne NIE povinná osoba“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Nahradený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IOTA-POL-24; plný AML režim / povinná osoba 297/2008; limity v1.2; orgány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NÁVRH</w:t>
            </w:r>
          </w:p>
        </w:tc>
      </w:tr>
    </w:tbl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rPr>
          <w:color w:val="666666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IOTA Defence a.s. · IOTA-POL-24 v1.1 · NÁVRH · 6. 10. 2026</w:t>
      </w:r>
    </w:p>
    <w:sectPr>
      <w:pgSz w:h="15840" w:w="13980" w:orient="portrait"/>
      <w:pgMar w:bottom="1440" w:top="1440" w:left="240" w:right="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60" w:before="360" w:line="348.0000114440918" w:lineRule="auto"/>
        <w:ind w:left="240" w:right="2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270" w:lineRule="auto"/>
      <w:ind w:left="0" w:right="0" w:firstLine="0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18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KP8OmV4UHqOqYjl11Npnp5-XVuukL2ICVdldsajiPDA/edit" TargetMode="External"/><Relationship Id="rId7" Type="http://schemas.openxmlformats.org/officeDocument/2006/relationships/hyperlink" Target="https://docs.google.com/document/d/1KP8OmV4UHqOqYjl11Npnp5-XVuukL2ICVdldsajiPDA/edit" TargetMode="External"/><Relationship Id="rId8" Type="http://schemas.openxmlformats.org/officeDocument/2006/relationships/hyperlink" Target="https://docs.google.com/document/d/1KP8OmV4UHqOqYjl11Npnp5-XVuukL2ICVdldsajiPDA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