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04 · Policy-as-code – princípy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IČO 00000000 (FIKTÍVNE — pred zápisom do ORSR)1.0NÁVRH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Cieľ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Flowcharty (FC) a politiky 15–25 sa prekladajú na strojovo vyhodnotiteľné pravidlá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Životný cyklus pravidla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Návrh pravidla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Enforceevaluate(action, context)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 Príklad pravidla (ilustrácia, nie produkčný kód)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4. Povinné vlastnosti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Vlastnosť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Požiadavka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Fail-closed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Pri chybe engine → DENY / ESCALATE, nie ALLOW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Žiadne tiché continue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silent_continue: false vždy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Traceability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Každý verdikt odkazuje na Doc ID + kapitolu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Testy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Min. 1 positive + 1 negative case na pravidlo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Zmena limitu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Len L4 (Predstavenstvo); agent limity nemení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5. Mapovanie FC → pravidlá (štart)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FC / politika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Pravidlá (príklady 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FC-13 / Limity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PAY-L1…L4, P2P-RISK-MIN-L3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FC-09 / Pol. 18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SANCTIONS-HIT-STOP, EXPORT-LICENSE-GATE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FC-10 / Pol. 22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WB-INTAKE-HUMAN, WB-NO-RETALIATION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Pol. 24 AML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AML-HIT-DUAL, KYC-BEFORE-PAY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Pol. 16 ABAC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GIFT-500-CAP, GIFT-REGISTER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FC-16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AGENT-GATED-ALWAYS-HUMAN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Implementačný stack policy engine: [DOPLNIŤ — napr. OPA / interný service]. Do schválenia Predstavenstvom platí tento dokument ako NÁVRH prevádzkových pravidiel.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IOTA Defence a.s. · 07_AI-Governance · 04_Policy-as-code-principles · NÁVRH v1.0 · 6. 10. 2026 · Márian Stančík · Interné – Dôverné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