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Social Security MTR Calculation:</w:t>
      </w:r>
    </w:p>
    <w:p>
      <w:pPr>
        <w:pStyle w:val="Normal"/>
        <w:rPr/>
      </w:pPr>
      <w:r>
        <w:rPr/>
        <w:t xml:space="preserve">Introduction: </w:t>
      </w:r>
    </w:p>
    <w:p>
      <w:pPr>
        <w:pStyle w:val="Normal"/>
        <w:rPr/>
      </w:pPr>
      <w:r>
        <w:rPr/>
        <w:t xml:space="preserve">This document explains the process in which we calculate the marginal tax rates (MTR) for Social Security for individuals in the CPS dataset. </w:t>
      </w:r>
    </w:p>
    <w:p>
      <w:pPr>
        <w:pStyle w:val="Normal"/>
        <w:rPr/>
      </w:pPr>
      <w:r>
        <w:rPr/>
        <w:t>Methodology:</w:t>
      </w:r>
    </w:p>
    <w:p>
      <w:pPr>
        <w:pStyle w:val="Normal"/>
        <w:rPr/>
      </w:pPr>
      <w:r>
        <w:rPr/>
        <w:t xml:space="preserve">We begin by excluding all individuals from the MTR calculation who are not in the labor force, which we define by three criteria: </w:t>
      </w:r>
    </w:p>
    <w:p>
      <w:pPr>
        <w:pStyle w:val="Normal"/>
        <w:rPr/>
      </w:pPr>
      <w:r>
        <w:rPr/>
        <w:t xml:space="preserve">1. Their reported age is between 18 and 65 inclusive </w:t>
      </w:r>
    </w:p>
    <w:p>
      <w:pPr>
        <w:pStyle w:val="Normal"/>
        <w:rPr/>
      </w:pPr>
      <w:r>
        <w:rPr/>
        <w:t>2. Is not currently enrolled as a part-time or full-time student (a_ftpt from CPS)</w:t>
      </w:r>
    </w:p>
    <w:p>
      <w:pPr>
        <w:pStyle w:val="Normal"/>
        <w:rPr/>
      </w:pPr>
      <w:r>
        <w:rPr/>
        <w:t>3. Earned income is greater than 0</w:t>
      </w:r>
    </w:p>
    <w:p>
      <w:pPr>
        <w:pStyle w:val="Normal"/>
        <w:rPr/>
      </w:pPr>
      <w:r>
        <w:rPr/>
        <w:t xml:space="preserve"> </w:t>
      </w:r>
      <w:r>
        <w:rPr/>
        <w:t>Note: We define earned income as the sum of 'wsal_val', 'semp_val', and 'frse_val' from CPS</w:t>
      </w:r>
    </w:p>
    <w:p>
      <w:pPr>
        <w:pStyle w:val="Normal"/>
        <w:rPr/>
      </w:pPr>
      <w:r>
        <w:rPr/>
        <w:t>Once we exclude those who aren’t in the labor force, we use the Mincer earnings function</w:t>
      </w:r>
      <w:r>
        <w:rPr>
          <w:vertAlign w:val="superscript"/>
        </w:rPr>
        <w:t>1</w:t>
      </w:r>
      <w:r>
        <w:rPr/>
        <w:t xml:space="preserve"> to predict the earnings in a given year of each individual as a function of schooling and experience. This equation is given by</w:t>
      </w:r>
    </w:p>
    <w:p>
      <w:pPr>
        <w:pStyle w:val="Normal"/>
        <w:jc w:val="center"/>
        <w:rPr>
          <w:rFonts w:eastAsia="" w:eastAsiaTheme="minorEastAsia"/>
        </w:rPr>
      </w:pPr>
      <w:r>
        <w:rPr/>
      </w:r>
      <m:oMath xmlns:m="http://schemas.openxmlformats.org/officeDocument/2006/math">
        <m:r>
          <w:rPr>
            <w:rFonts w:ascii="Cambria Math" w:hAnsi="Cambria Math"/>
          </w:rPr>
          <m:t xml:space="preserve">ln</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rS</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p>
          <m:e>
            <m:r>
              <w:rPr>
                <w:rFonts w:ascii="Cambria Math" w:hAnsi="Cambria Math"/>
              </w:rPr>
              <m:t xml:space="preserve">X</m:t>
            </m:r>
          </m:e>
          <m:sup>
            <m:r>
              <w:rPr>
                <w:rFonts w:ascii="Cambria Math" w:hAnsi="Cambria Math"/>
              </w:rPr>
              <m:t xml:space="preserve">2</m:t>
            </m:r>
          </m:sup>
        </m:sSup>
      </m:oMath>
    </w:p>
    <w:p>
      <w:pPr>
        <w:pStyle w:val="Normal"/>
        <w:rPr/>
      </w:pPr>
      <w:r>
        <w:rPr/>
        <w:t xml:space="preserve">where </w:t>
      </w:r>
      <w:r>
        <w:rPr>
          <w:i/>
        </w:rPr>
        <w:t>y</w:t>
      </w:r>
      <w:r>
        <w:rPr/>
        <w:t xml:space="preserve"> is earnings, </w:t>
      </w:r>
      <w:r>
        <w:rPr>
          <w:i/>
        </w:rPr>
        <w:t>y</w:t>
      </w:r>
      <w:r>
        <w:rPr>
          <w:vertAlign w:val="subscript"/>
        </w:rPr>
        <w:t>0</w:t>
      </w:r>
      <w:r>
        <w:rPr/>
        <w:t xml:space="preserve"> is the earnings of somebody with no education or experience, </w:t>
      </w:r>
      <w:r>
        <w:rPr>
          <w:i/>
        </w:rPr>
        <w:t>S</w:t>
      </w:r>
      <w:r>
        <w:rPr/>
        <w:t xml:space="preserve"> is years of education, and </w:t>
      </w:r>
      <w:r>
        <w:rPr>
          <w:i/>
        </w:rPr>
        <w:t>X</w:t>
      </w:r>
      <w:r>
        <w:rPr/>
        <w:t xml:space="preserve"> is years of work experience. To specify </w:t>
      </w:r>
      <w:r>
        <w:rPr>
          <w:i/>
        </w:rPr>
        <w:t>S</w:t>
      </w:r>
      <w:r>
        <w:rPr/>
        <w:t xml:space="preserve"> in our calculation, we use the variable ‘a_hga’ from the CPS dataset and assign each possible category of education a number, which we define as YrsPstHS in the python code, to reflect how many years beyond high school it takes to finish. </w:t>
      </w:r>
    </w:p>
    <w:tbl>
      <w:tblPr>
        <w:tblW w:w="7100" w:type="dxa"/>
        <w:jc w:val="left"/>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2080"/>
        <w:gridCol w:w="1480"/>
        <w:gridCol w:w="2080"/>
        <w:gridCol w:w="1459"/>
      </w:tblGrid>
      <w:tr>
        <w:trPr>
          <w:trHeight w:val="315" w:hRule="atLeast"/>
        </w:trPr>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Degree Type</w:t>
            </w:r>
          </w:p>
        </w:tc>
        <w:tc>
          <w:tcPr>
            <w:tcW w:w="148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YrsPstHS or '</w:t>
            </w:r>
            <w:r>
              <w:rPr>
                <w:rFonts w:eastAsia="Times New Roman" w:cs="Times New Roman"/>
                <w:i/>
                <w:iCs/>
                <w:color w:val="000000"/>
              </w:rPr>
              <w:t>S'</w:t>
            </w:r>
          </w:p>
        </w:tc>
        <w:tc>
          <w:tcPr>
            <w:tcW w:w="208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Degree Type</w:t>
            </w:r>
          </w:p>
        </w:tc>
        <w:tc>
          <w:tcPr>
            <w:tcW w:w="145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YrsPstHS or '</w:t>
            </w:r>
            <w:r>
              <w:rPr>
                <w:rFonts w:eastAsia="Times New Roman" w:cs="Times New Roman"/>
                <w:i/>
                <w:iCs/>
                <w:color w:val="000000"/>
              </w:rPr>
              <w:t>S'</w:t>
            </w:r>
          </w:p>
        </w:tc>
      </w:tr>
      <w:tr>
        <w:trPr>
          <w:trHeight w:val="615" w:hRule="atLeast"/>
        </w:trPr>
        <w:tc>
          <w:tcPr>
            <w:tcW w:w="208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Less than high school</w:t>
            </w:r>
          </w:p>
        </w:tc>
        <w:tc>
          <w:tcPr>
            <w:tcW w:w="14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0</w:t>
            </w:r>
          </w:p>
        </w:tc>
        <w:tc>
          <w:tcPr>
            <w:tcW w:w="20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Bachelor’s degree</w:t>
            </w:r>
          </w:p>
        </w:tc>
        <w:tc>
          <w:tcPr>
            <w:tcW w:w="145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5</w:t>
            </w:r>
          </w:p>
        </w:tc>
      </w:tr>
      <w:tr>
        <w:trPr>
          <w:trHeight w:val="615" w:hRule="atLeast"/>
        </w:trPr>
        <w:tc>
          <w:tcPr>
            <w:tcW w:w="208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High school graduate</w:t>
            </w:r>
          </w:p>
        </w:tc>
        <w:tc>
          <w:tcPr>
            <w:tcW w:w="14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w:t>
            </w:r>
          </w:p>
        </w:tc>
        <w:tc>
          <w:tcPr>
            <w:tcW w:w="20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Master’s degree</w:t>
            </w:r>
          </w:p>
        </w:tc>
        <w:tc>
          <w:tcPr>
            <w:tcW w:w="145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7</w:t>
            </w:r>
          </w:p>
        </w:tc>
      </w:tr>
      <w:tr>
        <w:trPr>
          <w:trHeight w:val="615" w:hRule="atLeast"/>
        </w:trPr>
        <w:tc>
          <w:tcPr>
            <w:tcW w:w="208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Some college but no degree</w:t>
            </w:r>
          </w:p>
        </w:tc>
        <w:tc>
          <w:tcPr>
            <w:tcW w:w="14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w:t>
            </w:r>
          </w:p>
        </w:tc>
        <w:tc>
          <w:tcPr>
            <w:tcW w:w="20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Professional school degree</w:t>
            </w:r>
          </w:p>
        </w:tc>
        <w:tc>
          <w:tcPr>
            <w:tcW w:w="145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10</w:t>
            </w:r>
          </w:p>
        </w:tc>
      </w:tr>
      <w:tr>
        <w:trPr>
          <w:trHeight w:val="615" w:hRule="atLeast"/>
        </w:trPr>
        <w:tc>
          <w:tcPr>
            <w:tcW w:w="208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Associate degree</w:t>
            </w:r>
          </w:p>
        </w:tc>
        <w:tc>
          <w:tcPr>
            <w:tcW w:w="14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w:t>
            </w:r>
          </w:p>
        </w:tc>
        <w:tc>
          <w:tcPr>
            <w:tcW w:w="208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Doctorate degree</w:t>
            </w:r>
          </w:p>
        </w:tc>
        <w:tc>
          <w:tcPr>
            <w:tcW w:w="145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10</w:t>
            </w:r>
          </w:p>
        </w:tc>
      </w:tr>
    </w:tbl>
    <w:p>
      <w:pPr>
        <w:pStyle w:val="Normal"/>
        <w:rPr/>
      </w:pPr>
      <w:r>
        <w:rPr/>
      </w:r>
    </w:p>
    <w:p>
      <w:pPr>
        <w:pStyle w:val="Normal"/>
        <w:rPr/>
      </w:pPr>
      <w:r>
        <w:rPr/>
        <w:t>We then assume that each individual in the labor force maintains the same level of education for the remainder of their lives and began working immediately upon completing their education. Thus we define experience</w:t>
      </w:r>
      <w:r>
        <w:rPr>
          <w:i/>
        </w:rPr>
        <w:t xml:space="preserve"> </w:t>
      </w:r>
      <w:r>
        <w:rPr/>
        <w:t xml:space="preserve">as </w:t>
      </w:r>
    </w:p>
    <w:p>
      <w:pPr>
        <w:pStyle w:val="Normal"/>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age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17</m:t>
        </m:r>
      </m:oMath>
    </w:p>
    <w:p>
      <w:pPr>
        <w:pStyle w:val="Normal"/>
        <w:rPr>
          <w:rFonts w:eastAsia="" w:eastAsiaTheme="minorEastAsia"/>
        </w:rPr>
      </w:pPr>
      <w:r>
        <w:rPr>
          <w:rFonts w:eastAsia="" w:eastAsiaTheme="minorEastAsia"/>
        </w:rPr>
        <w:t xml:space="preserve">(Example: An individual aged 34 received a master’s degree. Then </w:t>
      </w:r>
      <w:r>
        <w:rPr>
          <w:rFonts w:eastAsia="" w:eastAsiaTheme="minorEastAsia"/>
          <w:i/>
        </w:rPr>
        <w:t>X</w:t>
      </w:r>
      <w:r>
        <w:rPr>
          <w:rFonts w:eastAsia="" w:eastAsiaTheme="minorEastAsia"/>
        </w:rPr>
        <w:t xml:space="preserve"> would be 34-7-17 = 10.)</w:t>
      </w:r>
    </w:p>
    <w:p>
      <w:pPr>
        <w:pStyle w:val="Normal"/>
        <w:rPr>
          <w:rFonts w:eastAsia="" w:eastAsiaTheme="minorEastAsia"/>
        </w:rPr>
      </w:pPr>
      <w:r>
        <w:rPr>
          <w:rFonts w:eastAsia="" w:eastAsiaTheme="minorEastAsia"/>
        </w:rPr>
        <w:t xml:space="preserve">Now that these variables are clearly defined, we were able to perform a regression using the variables earned_income, YrsPstHS, experience, and experience_squared to determine the coefficients </w:t>
      </w:r>
      <w:r>
        <w:rPr>
          <w:rFonts w:eastAsia="" w:eastAsiaTheme="minorEastAsia"/>
          <w:i/>
        </w:rPr>
        <w:t xml:space="preserve">r, </w:t>
      </w:r>
      <w:r>
        <w:rPr>
          <w:rFonts w:eastAsia="" w:eastAsiaTheme="minorEastAsia"/>
        </w:rPr>
        <w:t>β</w:t>
      </w:r>
      <w:r>
        <w:rPr>
          <w:rFonts w:eastAsia="" w:eastAsiaTheme="minorEastAsia"/>
          <w:vertAlign w:val="subscript"/>
        </w:rPr>
        <w:t>1</w:t>
      </w:r>
      <w:r>
        <w:rPr>
          <w:rFonts w:eastAsia="" w:eastAsiaTheme="minorEastAsia"/>
        </w:rPr>
        <w:t>, and β</w:t>
      </w:r>
      <w:r>
        <w:rPr>
          <w:rFonts w:eastAsia="" w:eastAsiaTheme="minorEastAsia"/>
          <w:vertAlign w:val="subscript"/>
        </w:rPr>
        <w:t xml:space="preserve">2. </w:t>
      </w:r>
      <w:r>
        <w:rPr>
          <w:rFonts w:eastAsia="" w:eastAsiaTheme="minorEastAsia"/>
        </w:rPr>
        <w:t xml:space="preserve">With these coefficients, we can then predict an individual’s earnings in a given year of their life. </w:t>
      </w:r>
    </w:p>
    <w:p>
      <w:pPr>
        <w:pStyle w:val="Normal"/>
        <w:rPr>
          <w:rFonts w:eastAsia="" w:eastAsiaTheme="minorEastAsia"/>
        </w:rPr>
      </w:pPr>
      <w:r>
        <w:rPr>
          <w:rFonts w:eastAsia="" w:eastAsiaTheme="minorEastAsia"/>
        </w:rPr>
        <w:t xml:space="preserve">The results of the regression are below. </w:t>
      </w:r>
    </w:p>
    <w:p>
      <w:pPr>
        <w:pStyle w:val="Normal"/>
        <w:rPr>
          <w:rFonts w:eastAsia="" w:eastAsiaTheme="minorEastAsia"/>
        </w:rPr>
      </w:pPr>
      <w:r>
        <w:rPr>
          <w:rFonts w:eastAsia="" w:eastAsiaTheme="minorEastAsia"/>
        </w:rPr>
        <w:t xml:space="preserve">                            </w:t>
      </w:r>
      <w:r>
        <w:rPr>
          <w:rFonts w:eastAsia="" w:eastAsiaTheme="minorEastAsia"/>
        </w:rPr>
        <w:t xml:space="preserve">OLS Regression Results                            </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 xml:space="preserve">Dep. Variable:          </w:t>
        <w:tab/>
        <w:t xml:space="preserve">earned_income   </w:t>
        <w:tab/>
        <w:t>R-squared:                          0.183</w:t>
      </w:r>
    </w:p>
    <w:p>
      <w:pPr>
        <w:pStyle w:val="Normal"/>
        <w:rPr>
          <w:rFonts w:eastAsia="" w:eastAsiaTheme="minorEastAsia"/>
        </w:rPr>
      </w:pPr>
      <w:r>
        <w:rPr>
          <w:rFonts w:eastAsia="" w:eastAsiaTheme="minorEastAsia"/>
        </w:rPr>
        <w:t xml:space="preserve">Model:                           </w:t>
        <w:tab/>
        <w:t xml:space="preserve">OLS   </w:t>
        <w:tab/>
        <w:tab/>
        <w:tab/>
        <w:t>Adj. R-squared:                  0.182</w:t>
      </w:r>
    </w:p>
    <w:p>
      <w:pPr>
        <w:pStyle w:val="Normal"/>
        <w:rPr>
          <w:rFonts w:eastAsia="" w:eastAsiaTheme="minorEastAsia"/>
        </w:rPr>
      </w:pPr>
      <w:r>
        <w:rPr>
          <w:rFonts w:eastAsia="" w:eastAsiaTheme="minorEastAsia"/>
        </w:rPr>
        <w:t xml:space="preserve">Method:                 </w:t>
        <w:tab/>
        <w:t xml:space="preserve">Least Squares   </w:t>
        <w:tab/>
        <w:tab/>
        <w:tab/>
        <w:t>F-statistic:                          4421.</w:t>
      </w:r>
    </w:p>
    <w:p>
      <w:pPr>
        <w:pStyle w:val="Normal"/>
        <w:rPr>
          <w:rFonts w:eastAsia="" w:eastAsiaTheme="minorEastAsia"/>
        </w:rPr>
      </w:pPr>
      <w:r>
        <w:rPr>
          <w:rFonts w:eastAsia="" w:eastAsiaTheme="minorEastAsia"/>
        </w:rPr>
        <w:t xml:space="preserve">Date:               </w:t>
        <w:tab/>
        <w:tab/>
        <w:t xml:space="preserve"> Sat, 27 Aug 2016   </w:t>
        <w:tab/>
        <w:tab/>
        <w:t>Prob (F-statistic):               0.00</w:t>
      </w:r>
    </w:p>
    <w:p>
      <w:pPr>
        <w:pStyle w:val="Normal"/>
        <w:rPr>
          <w:rFonts w:eastAsia="" w:eastAsiaTheme="minorEastAsia"/>
        </w:rPr>
      </w:pPr>
      <w:r>
        <w:rPr>
          <w:rFonts w:eastAsia="" w:eastAsiaTheme="minorEastAsia"/>
        </w:rPr>
        <w:t xml:space="preserve">Time:                        </w:t>
        <w:tab/>
        <w:t xml:space="preserve">15:16:31   </w:t>
        <w:tab/>
        <w:tab/>
        <w:tab/>
        <w:t>Log-Likelihood:                -82210.</w:t>
      </w:r>
    </w:p>
    <w:p>
      <w:pPr>
        <w:pStyle w:val="Normal"/>
        <w:rPr>
          <w:rFonts w:eastAsia="" w:eastAsiaTheme="minorEastAsia"/>
        </w:rPr>
      </w:pPr>
      <w:r>
        <w:rPr>
          <w:rFonts w:eastAsia="" w:eastAsiaTheme="minorEastAsia"/>
        </w:rPr>
        <w:t xml:space="preserve">No. Observations:            59407   </w:t>
        <w:tab/>
        <w:tab/>
        <w:tab/>
        <w:t xml:space="preserve">AIC:                         </w:t>
        <w:tab/>
        <w:t>1.644e+05</w:t>
      </w:r>
    </w:p>
    <w:p>
      <w:pPr>
        <w:pStyle w:val="Normal"/>
        <w:rPr>
          <w:rFonts w:eastAsia="" w:eastAsiaTheme="minorEastAsia"/>
        </w:rPr>
      </w:pPr>
      <w:r>
        <w:rPr>
          <w:rFonts w:eastAsia="" w:eastAsiaTheme="minorEastAsia"/>
        </w:rPr>
        <w:t xml:space="preserve">Df Residuals:                   </w:t>
        <w:tab/>
        <w:t xml:space="preserve">59403   </w:t>
        <w:tab/>
        <w:tab/>
        <w:tab/>
        <w:tab/>
        <w:t xml:space="preserve">BIC:                         </w:t>
        <w:tab/>
        <w:t>1.645e+05</w:t>
      </w:r>
    </w:p>
    <w:p>
      <w:pPr>
        <w:pStyle w:val="Normal"/>
        <w:rPr>
          <w:rFonts w:eastAsia="" w:eastAsiaTheme="minorEastAsia"/>
        </w:rPr>
      </w:pPr>
      <w:r>
        <w:rPr>
          <w:rFonts w:eastAsia="" w:eastAsiaTheme="minorEastAsia"/>
        </w:rPr>
        <w:t xml:space="preserve">Df Model:                          3                                         </w:t>
      </w:r>
    </w:p>
    <w:p>
      <w:pPr>
        <w:pStyle w:val="Normal"/>
        <w:rPr>
          <w:rFonts w:eastAsia="" w:eastAsiaTheme="minorEastAsia"/>
        </w:rPr>
      </w:pPr>
      <w:r>
        <w:rPr>
          <w:rFonts w:eastAsia="" w:eastAsiaTheme="minorEastAsia"/>
        </w:rPr>
        <w:t xml:space="preserve">Covariance Type:            nonrobust                                         </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 xml:space="preserve">                        </w:t>
      </w:r>
      <w:r>
        <w:rPr>
          <w:rFonts w:eastAsia="" w:eastAsiaTheme="minorEastAsia"/>
        </w:rPr>
        <w:tab/>
        <w:tab/>
        <w:t xml:space="preserve">coef    </w:t>
        <w:tab/>
        <w:t>std err          t      P&gt;|t|      [95.0% Conf. Int.]</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 xml:space="preserve">const                 </w:t>
        <w:tab/>
        <w:t xml:space="preserve">            9.1374      0.014    665.145       0.000        9.110     9.164</w:t>
      </w:r>
    </w:p>
    <w:p>
      <w:pPr>
        <w:pStyle w:val="Normal"/>
        <w:rPr>
          <w:rFonts w:eastAsia="" w:eastAsiaTheme="minorEastAsia"/>
        </w:rPr>
      </w:pPr>
      <w:r>
        <w:rPr>
          <w:rFonts w:eastAsia="" w:eastAsiaTheme="minorEastAsia"/>
        </w:rPr>
        <w:t>YrsPstHS                         0.1576      0.002     98.161        0.000         0.154     0.161</w:t>
      </w:r>
    </w:p>
    <w:p>
      <w:pPr>
        <w:pStyle w:val="Normal"/>
        <w:rPr>
          <w:rFonts w:eastAsia="" w:eastAsiaTheme="minorEastAsia"/>
        </w:rPr>
      </w:pPr>
      <w:r>
        <w:rPr>
          <w:rFonts w:eastAsia="" w:eastAsiaTheme="minorEastAsia"/>
        </w:rPr>
        <w:t>experience                     0.0671      0.001     52.443        0.000         0.065     0.070</w:t>
      </w:r>
    </w:p>
    <w:p>
      <w:pPr>
        <w:pStyle w:val="Normal"/>
        <w:rPr>
          <w:rFonts w:eastAsia="" w:eastAsiaTheme="minorEastAsia"/>
        </w:rPr>
      </w:pPr>
      <w:r>
        <w:rPr>
          <w:rFonts w:eastAsia="" w:eastAsiaTheme="minorEastAsia"/>
        </w:rPr>
        <w:t>experienceSquared    -0.0012   2.77e-05    -42.580      0.000        -0.001    -0.001</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Omnibus:                    24077.988   Durbin-Watson:                   1.951</w:t>
      </w:r>
    </w:p>
    <w:p>
      <w:pPr>
        <w:pStyle w:val="Normal"/>
        <w:rPr>
          <w:rFonts w:eastAsia="" w:eastAsiaTheme="minorEastAsia"/>
        </w:rPr>
      </w:pPr>
      <w:r>
        <w:rPr>
          <w:rFonts w:eastAsia="" w:eastAsiaTheme="minorEastAsia"/>
        </w:rPr>
        <w:t>Prob(Omnibus):                  0.000   Jarque-Bera (JB):           177423.838</w:t>
      </w:r>
    </w:p>
    <w:p>
      <w:pPr>
        <w:pStyle w:val="Normal"/>
        <w:rPr>
          <w:rFonts w:eastAsia="" w:eastAsiaTheme="minorEastAsia"/>
        </w:rPr>
      </w:pPr>
      <w:r>
        <w:rPr>
          <w:rFonts w:eastAsia="" w:eastAsiaTheme="minorEastAsia"/>
        </w:rPr>
        <w:t>Skew:                          -1.779   Prob(JB):                         0.00</w:t>
      </w:r>
    </w:p>
    <w:p>
      <w:pPr>
        <w:pStyle w:val="Normal"/>
        <w:rPr>
          <w:rFonts w:eastAsia="" w:eastAsiaTheme="minorEastAsia"/>
        </w:rPr>
      </w:pPr>
      <w:r>
        <w:rPr>
          <w:rFonts w:eastAsia="" w:eastAsiaTheme="minorEastAsia"/>
        </w:rPr>
        <w:t>Kurtosis:                      10.682   Cond. No.                     2.93e+03</w:t>
      </w:r>
    </w:p>
    <w:p>
      <w:pPr>
        <w:pStyle w:val="Normal"/>
        <w:rPr>
          <w:rFonts w:eastAsia="" w:eastAsiaTheme="minorEastAsia"/>
        </w:rPr>
      </w:pPr>
      <w:r>
        <w:rPr>
          <w:rFonts w:eastAsia="" w:eastAsiaTheme="minorEastAsia"/>
        </w:rPr>
        <w:t>==============================================================================</w:t>
      </w:r>
    </w:p>
    <w:p>
      <w:pPr>
        <w:pStyle w:val="Normal"/>
        <w:rPr/>
      </w:pPr>
      <w:r>
        <w:rPr>
          <w:rFonts w:eastAsia="" w:eastAsiaTheme="minorEastAsia"/>
        </w:rPr>
        <w:tab/>
        <w:t xml:space="preserve">With these coefficients we can then obtain a vector of earnings for each year of an individual’s working life until the present year simply by plugging in the individual’s education, and their work experience in any given year. This vector of earnings can then be used to estimate the individuals estimated monthly social security benefit </w:t>
      </w:r>
      <w:r>
        <w:rPr>
          <w:rFonts w:eastAsia="" w:eastAsiaTheme="minorEastAsia"/>
        </w:rPr>
        <w:t>using</w:t>
      </w:r>
      <w:r>
        <w:rPr>
          <w:rFonts w:eastAsia="" w:eastAsiaTheme="minorEastAsia"/>
        </w:rPr>
        <w:t xml:space="preserve"> the Social Security Administration’</w:t>
      </w:r>
      <w:r>
        <w:rPr>
          <w:rFonts w:eastAsia="" w:eastAsiaTheme="minorEastAsia"/>
        </w:rPr>
        <w:t>s calculator called Anypiab located at</w:t>
      </w:r>
      <w:r>
        <w:rPr>
          <w:rFonts w:eastAsia="" w:eastAsiaTheme="minorEastAsia"/>
        </w:rPr>
        <w:t xml:space="preserve"> website at </w:t>
      </w:r>
      <w:hyperlink r:id="rId2">
        <w:r>
          <w:rPr>
            <w:rStyle w:val="InternetLink"/>
            <w:rFonts w:eastAsia="" w:eastAsiaTheme="minorEastAsia"/>
          </w:rPr>
          <w:t>https://www.ssa.gov/planners/retire/AnypiaApplet.html</w:t>
        </w:r>
      </w:hyperlink>
      <w:r>
        <w:rPr>
          <w:rFonts w:eastAsia="" w:eastAsiaTheme="minorEastAsia"/>
        </w:rPr>
        <w:t xml:space="preserve">. Our script </w:t>
      </w:r>
      <w:r>
        <w:rPr>
          <w:rFonts w:eastAsia="" w:eastAsiaTheme="minorEastAsia"/>
        </w:rPr>
        <w:t xml:space="preserve">uses the anypiab app and </w:t>
      </w:r>
      <w:r>
        <w:rPr>
          <w:rFonts w:eastAsia="" w:eastAsiaTheme="minorEastAsia"/>
        </w:rPr>
        <w:t xml:space="preserve"> fills in the lifetime earnings and birthday, and gives an estimated monthly social security benefit. Then we convert this benefit to represent a lifetime benefit by multiplying by 12 to make it yearly, then by the number of years remaining in the individual’s lifetime, which we assume to be 20. </w:t>
      </w:r>
    </w:p>
    <w:p>
      <w:pPr>
        <w:pStyle w:val="Normal"/>
        <w:ind w:firstLine="360"/>
        <w:rPr>
          <w:rFonts w:eastAsia="" w:eastAsiaTheme="minorEastAsia"/>
        </w:rPr>
      </w:pPr>
      <w:r>
        <w:rPr>
          <w:rFonts w:eastAsia="" w:eastAsiaTheme="minorEastAsia"/>
        </w:rPr>
        <w:t xml:space="preserve">Once we get this total lifetime benefit, we add $10000 to the current year (2014) in the lifetime earnings vector and recalculate the monthly benefit on the website. The reason that we add $10000 is that anything less than that doesn’t yield any difference to the monthly benefit. Finally, we take this new benefit, multiply by 240 to make it a lifetime benefit, take the difference between the old and new lifetime benefit, and divide that difference by 10000 to get the marginal tax rate for that individual. We perform this set of steps for each individual in the labor force of the CPS dataset. </w:t>
      </w:r>
    </w:p>
    <w:p>
      <w:pPr>
        <w:pStyle w:val="Normal"/>
        <w:rPr>
          <w:rFonts w:eastAsia="" w:eastAsiaTheme="minorEastAsia"/>
        </w:rPr>
      </w:pPr>
      <w:r>
        <w:rPr>
          <w:rFonts w:eastAsia="" w:eastAsiaTheme="minorEastAsia"/>
        </w:rPr>
      </w:r>
    </w:p>
    <w:p>
      <w:pPr>
        <w:pStyle w:val="ListParagraph"/>
        <w:numPr>
          <w:ilvl w:val="0"/>
          <w:numId w:val="1"/>
        </w:numPr>
        <w:rPr/>
      </w:pPr>
      <w:r>
        <w:rPr>
          <w:rFonts w:cs="Arial" w:ascii="Arial" w:hAnsi="Arial"/>
          <w:color w:val="252525"/>
          <w:sz w:val="19"/>
          <w:szCs w:val="19"/>
          <w:shd w:fill="FFFFFF" w:val="clear"/>
        </w:rPr>
        <w:t>Mincer, Jacob (1958). "Investment in Human Capital and Personal Income Distribution".</w:t>
      </w:r>
      <w:r>
        <w:rPr>
          <w:rStyle w:val="Appleconvertedspace"/>
          <w:rFonts w:cs="Arial" w:ascii="Arial" w:hAnsi="Arial"/>
          <w:color w:val="252525"/>
          <w:sz w:val="19"/>
          <w:szCs w:val="19"/>
          <w:shd w:fill="FFFFFF" w:val="clear"/>
        </w:rPr>
        <w:t> </w:t>
      </w:r>
      <w:hyperlink r:id="rId3">
        <w:r>
          <w:rPr>
            <w:rStyle w:val="InternetLink"/>
            <w:rFonts w:cs="Arial" w:ascii="Arial" w:hAnsi="Arial"/>
            <w:i/>
            <w:iCs/>
            <w:color w:val="0B0080"/>
            <w:sz w:val="19"/>
            <w:szCs w:val="19"/>
            <w:highlight w:val="white"/>
          </w:rPr>
          <w:t>Journal of Political Economy</w:t>
        </w:r>
      </w:hyperlink>
      <w:r>
        <w:rPr>
          <w:rFonts w:cs="Arial" w:ascii="Arial" w:hAnsi="Arial"/>
          <w:color w:val="252525"/>
          <w:sz w:val="19"/>
          <w:szCs w:val="19"/>
          <w:shd w:fill="FFFFFF" w:val="clear"/>
        </w:rPr>
        <w:t>.</w:t>
      </w:r>
      <w:r>
        <w:rPr>
          <w:rStyle w:val="Appleconvertedspace"/>
          <w:rFonts w:cs="Arial" w:ascii="Arial" w:hAnsi="Arial"/>
          <w:color w:val="252525"/>
          <w:sz w:val="19"/>
          <w:szCs w:val="19"/>
          <w:shd w:fill="FFFFFF" w:val="clear"/>
        </w:rPr>
        <w:t> </w:t>
      </w:r>
      <w:r>
        <w:rPr>
          <w:rFonts w:cs="Arial" w:ascii="Arial" w:hAnsi="Arial"/>
          <w:b/>
          <w:bCs/>
          <w:color w:val="252525"/>
          <w:sz w:val="19"/>
          <w:szCs w:val="19"/>
          <w:shd w:fill="FFFFFF" w:val="clear"/>
        </w:rPr>
        <w:t>66</w:t>
      </w:r>
      <w:r>
        <w:rPr>
          <w:rStyle w:val="Appleconvertedspace"/>
          <w:rFonts w:cs="Arial" w:ascii="Arial" w:hAnsi="Arial"/>
          <w:color w:val="252525"/>
          <w:sz w:val="19"/>
          <w:szCs w:val="19"/>
          <w:shd w:fill="FFFFFF" w:val="clear"/>
        </w:rPr>
        <w:t> </w:t>
      </w:r>
      <w:r>
        <w:rPr>
          <w:rFonts w:cs="Arial" w:ascii="Arial" w:hAnsi="Arial"/>
          <w:color w:val="252525"/>
          <w:sz w:val="19"/>
          <w:szCs w:val="19"/>
          <w:shd w:fill="FFFFFF" w:val="clear"/>
        </w:rPr>
        <w:t>(4): 281–302.</w:t>
      </w:r>
      <w:r>
        <w:rPr>
          <w:rStyle w:val="Appleconvertedspace"/>
          <w:rFonts w:cs="Arial" w:ascii="Arial" w:hAnsi="Arial"/>
          <w:color w:val="252525"/>
          <w:sz w:val="19"/>
          <w:szCs w:val="19"/>
          <w:shd w:fill="FFFFFF" w:val="clear"/>
        </w:rPr>
        <w:t> </w:t>
      </w:r>
      <w:hyperlink r:id="rId4">
        <w:r>
          <w:rPr>
            <w:rStyle w:val="InternetLink"/>
            <w:rFonts w:cs="Arial" w:ascii="Arial" w:hAnsi="Arial"/>
            <w:color w:val="0B0080"/>
            <w:sz w:val="19"/>
            <w:szCs w:val="19"/>
            <w:highlight w:val="white"/>
          </w:rPr>
          <w:t>doi</w:t>
        </w:r>
      </w:hyperlink>
      <w:r>
        <w:rPr>
          <w:rFonts w:cs="Arial" w:ascii="Arial" w:hAnsi="Arial"/>
          <w:color w:val="252525"/>
          <w:sz w:val="19"/>
          <w:szCs w:val="19"/>
          <w:shd w:fill="FFFFFF" w:val="clear"/>
        </w:rPr>
        <w:t>:</w:t>
      </w:r>
      <w:hyperlink r:id="rId5">
        <w:r>
          <w:rPr>
            <w:rStyle w:val="InternetLink"/>
            <w:rFonts w:cs="Arial" w:ascii="Arial" w:hAnsi="Arial"/>
            <w:color w:val="663366"/>
            <w:sz w:val="19"/>
            <w:szCs w:val="19"/>
          </w:rPr>
          <w:t>10.1086/258055</w:t>
        </w:r>
      </w:hyperlink>
      <w:r>
        <w:rPr>
          <w:rFonts w:cs="Arial" w:ascii="Arial" w:hAnsi="Arial"/>
          <w:color w:val="252525"/>
          <w:sz w:val="19"/>
          <w:szCs w:val="19"/>
          <w:shd w:fill="FFFFFF" w:val="clear"/>
        </w:rPr>
        <w:t>.</w:t>
      </w:r>
      <w:r>
        <w:rPr>
          <w:rStyle w:val="Appleconvertedspace"/>
          <w:rFonts w:cs="Arial" w:ascii="Arial" w:hAnsi="Arial"/>
          <w:color w:val="252525"/>
          <w:sz w:val="19"/>
          <w:szCs w:val="19"/>
          <w:shd w:fill="FFFFFF" w:val="clear"/>
        </w:rPr>
        <w:t> </w:t>
      </w:r>
      <w:hyperlink r:id="rId6">
        <w:r>
          <w:rPr>
            <w:rStyle w:val="InternetLink"/>
            <w:rFonts w:cs="Arial" w:ascii="Arial" w:hAnsi="Arial"/>
            <w:color w:val="0B0080"/>
            <w:sz w:val="19"/>
            <w:szCs w:val="19"/>
            <w:highlight w:val="white"/>
          </w:rPr>
          <w:t>JSTOR</w:t>
        </w:r>
      </w:hyperlink>
      <w:r>
        <w:rPr>
          <w:rFonts w:cs="Arial" w:ascii="Arial" w:hAnsi="Arial"/>
          <w:color w:val="252525"/>
          <w:sz w:val="19"/>
          <w:szCs w:val="19"/>
          <w:shd w:fill="FFFFFF" w:val="clear"/>
        </w:rPr>
        <w:t> </w:t>
      </w:r>
      <w:hyperlink r:id="rId7">
        <w:r>
          <w:rPr>
            <w:rStyle w:val="InternetLink"/>
            <w:rFonts w:cs="Arial" w:ascii="Arial" w:hAnsi="Arial"/>
            <w:color w:val="663366"/>
            <w:sz w:val="19"/>
            <w:szCs w:val="19"/>
          </w:rPr>
          <w:t>1827422</w:t>
        </w:r>
      </w:hyperlink>
      <w:r>
        <w:rPr>
          <w:rFonts w:cs="Arial" w:ascii="Arial" w:hAnsi="Arial"/>
          <w:color w:val="252525"/>
          <w:sz w:val="19"/>
          <w:szCs w:val="19"/>
          <w:shd w:fill="FFFFFF" w:val="clear"/>
        </w:rPr>
        <w:t>.</w:t>
      </w:r>
    </w:p>
    <w:p>
      <w:pPr>
        <w:pStyle w:val="Normal"/>
        <w:rPr>
          <w:rFonts w:eastAsia="" w:eastAsiaTheme="minorEastAsia"/>
        </w:rPr>
      </w:pPr>
      <w:r>
        <w:rPr>
          <w:rFonts w:eastAsia="" w:eastAsiaTheme="minorEastAsi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06252"/>
    <w:rPr>
      <w:color w:val="0563C1" w:themeColor="hyperlink"/>
      <w:u w:val="single"/>
    </w:rPr>
  </w:style>
  <w:style w:type="character" w:styleId="PlaceholderText">
    <w:name w:val="Placeholder Text"/>
    <w:basedOn w:val="DefaultParagraphFont"/>
    <w:uiPriority w:val="99"/>
    <w:semiHidden/>
    <w:qFormat/>
    <w:rsid w:val="00806252"/>
    <w:rPr>
      <w:color w:val="808080"/>
    </w:rPr>
  </w:style>
  <w:style w:type="character" w:styleId="HeaderChar" w:customStyle="1">
    <w:name w:val="Header Char"/>
    <w:basedOn w:val="DefaultParagraphFont"/>
    <w:link w:val="Header"/>
    <w:uiPriority w:val="99"/>
    <w:qFormat/>
    <w:rsid w:val="0070560a"/>
    <w:rPr/>
  </w:style>
  <w:style w:type="character" w:styleId="FooterChar" w:customStyle="1">
    <w:name w:val="Footer Char"/>
    <w:basedOn w:val="DefaultParagraphFont"/>
    <w:link w:val="Footer"/>
    <w:uiPriority w:val="99"/>
    <w:qFormat/>
    <w:rsid w:val="0070560a"/>
    <w:rPr/>
  </w:style>
  <w:style w:type="character" w:styleId="Appleconvertedspace" w:customStyle="1">
    <w:name w:val="apple-converted-space"/>
    <w:basedOn w:val="DefaultParagraphFont"/>
    <w:qFormat/>
    <w:rsid w:val="0070560a"/>
    <w:rPr/>
  </w:style>
  <w:style w:type="character" w:styleId="ListLabel1">
    <w:name w:val="ListLabel 1"/>
    <w:qFormat/>
    <w:rPr>
      <w:rFonts w:cs="Arial"/>
      <w:color w:val="252525"/>
      <w:sz w:val="1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0560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560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70560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a7f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sa.gov/planners/retire/AnypiaApplet.html" TargetMode="External"/><Relationship Id="rId3" Type="http://schemas.openxmlformats.org/officeDocument/2006/relationships/hyperlink" Target="https://en.wikipedia.org/wiki/Journal_of_Political_Economy" TargetMode="External"/><Relationship Id="rId4" Type="http://schemas.openxmlformats.org/officeDocument/2006/relationships/hyperlink" Target="https://en.wikipedia.org/wiki/Digital_object_identifier" TargetMode="External"/><Relationship Id="rId5" Type="http://schemas.openxmlformats.org/officeDocument/2006/relationships/hyperlink" Target="https://dx.doi.org/10.1086%2F258055" TargetMode="External"/><Relationship Id="rId6" Type="http://schemas.openxmlformats.org/officeDocument/2006/relationships/hyperlink" Target="https://en.wikipedia.org/wiki/JSTOR" TargetMode="External"/><Relationship Id="rId7" Type="http://schemas.openxmlformats.org/officeDocument/2006/relationships/hyperlink" Target="https://www.jstor.org/stable/182742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Application>LibreOffice/5.1.4.2$Linux_X86_64 LibreOffice_project/10m0$Build-2</Application>
  <Pages>3</Pages>
  <Words>713</Words>
  <Characters>4133</Characters>
  <CharactersWithSpaces>5661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2016-08-23T23:21:00Z</dcterms:created>
  <dc:creator>James Olmstead</dc:creator>
  <dc:description/>
  <dc:language>en-US</dc:language>
  <cp:lastModifiedBy/>
  <dcterms:modified xsi:type="dcterms:W3CDTF">2016-12-22T16:57:51Z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