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2192" w14:textId="288C1374" w:rsidR="00C11A07" w:rsidRPr="00C11A07" w:rsidRDefault="00C11A07">
      <w:pPr>
        <w:rPr>
          <w:rFonts w:ascii="TimesNewRomanPSMT" w:hAnsi="TimesNewRomanPSMT"/>
          <w:b/>
          <w:bCs/>
          <w:color w:val="000000"/>
          <w:sz w:val="22"/>
          <w:szCs w:val="22"/>
        </w:rPr>
      </w:pPr>
      <w:r w:rsidRPr="00C11A07">
        <w:rPr>
          <w:rFonts w:ascii="TimesNewRomanPSMT" w:hAnsi="TimesNewRomanPSMT"/>
          <w:b/>
          <w:bCs/>
          <w:color w:val="000000"/>
          <w:sz w:val="22"/>
          <w:szCs w:val="22"/>
        </w:rPr>
        <w:t>Reviewer Comments:</w:t>
      </w:r>
    </w:p>
    <w:p w14:paraId="3035091D" w14:textId="77777777" w:rsidR="00E842B7" w:rsidRDefault="00C11A07">
      <w:pPr>
        <w:rPr>
          <w:rFonts w:ascii="TimesNewRomanPSMT" w:hAnsi="TimesNewRomanPSMT"/>
          <w:b/>
          <w:bCs/>
          <w:color w:val="000000"/>
          <w:sz w:val="22"/>
          <w:szCs w:val="22"/>
        </w:rPr>
      </w:pPr>
      <w:r w:rsidRPr="00C11A07">
        <w:rPr>
          <w:rFonts w:ascii="TimesNewRomanPSMT" w:hAnsi="TimesNewRomanPSMT"/>
          <w:b/>
          <w:bCs/>
          <w:color w:val="000000"/>
          <w:sz w:val="22"/>
          <w:szCs w:val="22"/>
        </w:rPr>
        <w:t>Reviewer 1</w:t>
      </w:r>
      <w:r w:rsidRPr="00C11A07">
        <w:rPr>
          <w:rFonts w:ascii="TimesNewRomanPSMT" w:hAnsi="TimesNewRomanPSMT"/>
          <w:b/>
          <w:bCs/>
          <w:color w:val="000000"/>
          <w:sz w:val="22"/>
          <w:szCs w:val="22"/>
        </w:rPr>
        <w:br/>
        <w:t xml:space="preserve">This manuscript represents a valuable contribution to the field and is suitable for publication with minor revision. Here are </w:t>
      </w:r>
      <w:proofErr w:type="spellStart"/>
      <w:r w:rsidRPr="00C11A07">
        <w:rPr>
          <w:rFonts w:ascii="TimesNewRomanPSMT" w:hAnsi="TimesNewRomanPSMT"/>
          <w:b/>
          <w:bCs/>
          <w:color w:val="000000"/>
          <w:sz w:val="22"/>
          <w:szCs w:val="22"/>
        </w:rPr>
        <w:t>somme</w:t>
      </w:r>
      <w:proofErr w:type="spellEnd"/>
      <w:r w:rsidRPr="00C11A07">
        <w:rPr>
          <w:rFonts w:ascii="TimesNewRomanPSMT" w:hAnsi="TimesNewRomanPSMT"/>
          <w:b/>
          <w:bCs/>
          <w:color w:val="000000"/>
          <w:sz w:val="22"/>
          <w:szCs w:val="22"/>
        </w:rPr>
        <w:t xml:space="preserve"> comments to be addressed</w:t>
      </w:r>
    </w:p>
    <w:p w14:paraId="1EB1F77E" w14:textId="382CA2A7" w:rsidR="00FB6839" w:rsidRPr="00FB6839" w:rsidRDefault="00FB6839" w:rsidP="00FB6839">
      <w:pPr>
        <w:ind w:left="720"/>
        <w:rPr>
          <w:rFonts w:ascii="TimesNewRomanPSMT" w:hAnsi="TimesNewRomanPSMT"/>
          <w:color w:val="000000"/>
          <w:sz w:val="22"/>
          <w:szCs w:val="22"/>
        </w:rPr>
      </w:pPr>
      <w:r w:rsidRPr="00FB6839">
        <w:rPr>
          <w:rFonts w:ascii="TimesNewRomanPSMT" w:hAnsi="TimesNewRomanPSMT"/>
          <w:color w:val="000000"/>
          <w:sz w:val="22"/>
          <w:szCs w:val="22"/>
        </w:rPr>
        <w:t xml:space="preserve">We are very grateful to the reviewer for this suggestion. The manuscript is improved by </w:t>
      </w:r>
      <w:r>
        <w:rPr>
          <w:rFonts w:ascii="TimesNewRomanPSMT" w:hAnsi="TimesNewRomanPSMT"/>
          <w:color w:val="000000"/>
          <w:sz w:val="22"/>
          <w:szCs w:val="22"/>
        </w:rPr>
        <w:t>the</w:t>
      </w:r>
      <w:r w:rsidRPr="00FB6839">
        <w:rPr>
          <w:rFonts w:ascii="TimesNewRomanPSMT" w:hAnsi="TimesNewRomanPSMT"/>
          <w:color w:val="000000"/>
          <w:sz w:val="22"/>
          <w:szCs w:val="22"/>
        </w:rPr>
        <w:t xml:space="preserve"> feedback. </w:t>
      </w:r>
    </w:p>
    <w:p w14:paraId="33E1C8A3" w14:textId="77777777" w:rsidR="00E842B7" w:rsidRDefault="00C11A07" w:rsidP="00FB6839">
      <w:pPr>
        <w:ind w:firstLine="720"/>
        <w:rPr>
          <w:rFonts w:ascii="TimesNewRomanPSMT" w:hAnsi="TimesNewRomanPSMT"/>
          <w:b/>
          <w:bCs/>
          <w:color w:val="000000"/>
          <w:sz w:val="22"/>
          <w:szCs w:val="22"/>
        </w:rPr>
      </w:pPr>
      <w:r w:rsidRPr="00C11A07">
        <w:rPr>
          <w:rFonts w:ascii="TimesNewRomanPSMT" w:hAnsi="TimesNewRomanPSMT"/>
          <w:b/>
          <w:bCs/>
          <w:color w:val="000000"/>
          <w:sz w:val="22"/>
          <w:szCs w:val="22"/>
        </w:rPr>
        <w:br/>
        <w:t>1- Expanding the discussion to explore the potential functional implications of the identified transcripts and splicing patterns, particularly regarding viral replication and immunosuppression, would strengthen the manuscript.</w:t>
      </w:r>
    </w:p>
    <w:p w14:paraId="6B2734CB" w14:textId="70AA91B0" w:rsidR="00563AF0" w:rsidRDefault="00FB6839" w:rsidP="00FB6839">
      <w:pPr>
        <w:ind w:left="720"/>
        <w:rPr>
          <w:rFonts w:ascii="TimesNewRomanPSMT" w:hAnsi="TimesNewRomanPSMT"/>
          <w:color w:val="000000"/>
          <w:sz w:val="22"/>
          <w:szCs w:val="22"/>
        </w:rPr>
      </w:pPr>
      <w:r w:rsidRPr="00FB6839">
        <w:rPr>
          <w:rFonts w:ascii="TimesNewRomanPSMT" w:hAnsi="TimesNewRomanPSMT"/>
          <w:color w:val="000000"/>
          <w:sz w:val="22"/>
          <w:szCs w:val="22"/>
        </w:rPr>
        <w:t>We appreciate the reviewer for this suggestion. We have addressed this by including “</w:t>
      </w:r>
      <w:r w:rsidRPr="00563AF0">
        <w:rPr>
          <w:i/>
          <w:iCs/>
        </w:rPr>
        <w:t xml:space="preserve">These new potential proteins and isoforms significantly extend the repertoire of THEV gene products than predicted, adding a hefty number of proteins of undefined function to the previously predicted five (See </w:t>
      </w:r>
      <w:r w:rsidRPr="00563AF0">
        <w:rPr>
          <w:b/>
          <w:bCs/>
          <w:i/>
          <w:iCs/>
        </w:rPr>
        <w:t>Figure 1</w:t>
      </w:r>
      <w:r w:rsidRPr="00563AF0">
        <w:rPr>
          <w:i/>
          <w:iCs/>
        </w:rPr>
        <w:t xml:space="preserve">). These new potential proteins and isoforms of unknown functions may mediate or contribute to viral replication efficiency, or the immunosuppression associated with THEV. </w:t>
      </w:r>
      <w:r w:rsidR="00563AF0" w:rsidRPr="00563AF0">
        <w:rPr>
          <w:i/>
          <w:iCs/>
        </w:rPr>
        <w:t>Hence, further studies of these potential proteins is urgently needed</w:t>
      </w:r>
      <w:r w:rsidRPr="00FB6839">
        <w:rPr>
          <w:rFonts w:ascii="TimesNewRomanPSMT" w:hAnsi="TimesNewRomanPSMT"/>
          <w:color w:val="000000"/>
          <w:sz w:val="22"/>
          <w:szCs w:val="22"/>
        </w:rPr>
        <w:t>” on line</w:t>
      </w:r>
      <w:r w:rsidR="00563AF0">
        <w:rPr>
          <w:rFonts w:ascii="TimesNewRomanPSMT" w:hAnsi="TimesNewRomanPSMT"/>
          <w:color w:val="000000"/>
          <w:sz w:val="22"/>
          <w:szCs w:val="22"/>
        </w:rPr>
        <w:t xml:space="preserve"> 47</w:t>
      </w:r>
      <w:r w:rsidR="005005F0">
        <w:rPr>
          <w:rFonts w:ascii="TimesNewRomanPSMT" w:hAnsi="TimesNewRomanPSMT"/>
          <w:color w:val="000000"/>
          <w:sz w:val="22"/>
          <w:szCs w:val="22"/>
        </w:rPr>
        <w:t>6</w:t>
      </w:r>
      <w:r w:rsidR="00563AF0">
        <w:rPr>
          <w:rFonts w:ascii="TimesNewRomanPSMT" w:hAnsi="TimesNewRomanPSMT"/>
          <w:color w:val="000000"/>
          <w:sz w:val="22"/>
          <w:szCs w:val="22"/>
        </w:rPr>
        <w:t>-48</w:t>
      </w:r>
      <w:r w:rsidR="005005F0">
        <w:rPr>
          <w:rFonts w:ascii="TimesNewRomanPSMT" w:hAnsi="TimesNewRomanPSMT"/>
          <w:color w:val="000000"/>
          <w:sz w:val="22"/>
          <w:szCs w:val="22"/>
        </w:rPr>
        <w:t>1</w:t>
      </w:r>
      <w:r w:rsidR="00563AF0">
        <w:rPr>
          <w:rFonts w:ascii="TimesNewRomanPSMT" w:hAnsi="TimesNewRomanPSMT"/>
          <w:color w:val="000000"/>
          <w:sz w:val="22"/>
          <w:szCs w:val="22"/>
        </w:rPr>
        <w:t xml:space="preserve"> of the discussion</w:t>
      </w:r>
      <w:r w:rsidRPr="00FB6839">
        <w:rPr>
          <w:rFonts w:ascii="TimesNewRomanPSMT" w:hAnsi="TimesNewRomanPSMT"/>
          <w:color w:val="000000"/>
          <w:sz w:val="22"/>
          <w:szCs w:val="22"/>
        </w:rPr>
        <w:t>.</w:t>
      </w:r>
      <w:r w:rsidR="00563AF0">
        <w:rPr>
          <w:rFonts w:ascii="TimesNewRomanPSMT" w:hAnsi="TimesNewRomanPSMT"/>
          <w:color w:val="000000"/>
          <w:sz w:val="22"/>
          <w:szCs w:val="22"/>
        </w:rPr>
        <w:t xml:space="preserve"> </w:t>
      </w:r>
    </w:p>
    <w:p w14:paraId="3E8E9F52" w14:textId="238B0337" w:rsidR="00FB6839" w:rsidRPr="00FB6839" w:rsidRDefault="00563AF0" w:rsidP="00FB6839">
      <w:pPr>
        <w:ind w:left="720"/>
        <w:rPr>
          <w:rFonts w:ascii="TimesNewRomanPSMT" w:hAnsi="TimesNewRomanPSMT"/>
          <w:color w:val="000000"/>
          <w:sz w:val="22"/>
          <w:szCs w:val="22"/>
        </w:rPr>
      </w:pPr>
      <w:r>
        <w:rPr>
          <w:rFonts w:ascii="TimesNewRomanPSMT" w:hAnsi="TimesNewRomanPSMT"/>
          <w:color w:val="000000"/>
          <w:sz w:val="22"/>
          <w:szCs w:val="22"/>
        </w:rPr>
        <w:t>We have included “</w:t>
      </w:r>
      <w:r w:rsidRPr="00563AF0">
        <w:rPr>
          <w:i/>
          <w:iCs/>
        </w:rPr>
        <w:t>The potential new proteins identified in our work adds to the number of proteins with undefined functions in THEV; these may have roles in viral replication efficiency, or the immunosuppression associated with THEV. Hence, further studies of these proteins and other predicted proteins of unknown function should be useful in elucidating THEV-induced immunosuppression</w:t>
      </w:r>
      <w:r>
        <w:t>” and “</w:t>
      </w:r>
      <w:r w:rsidRPr="00563AF0">
        <w:rPr>
          <w:i/>
          <w:iCs/>
        </w:rPr>
        <w:t>More importantly, this work characterizing the splicing of THEV mRNAs will allow researchers to accurately clone any THEV gene(s) of interest to study its potential role in inducing immunosuppression or other functions</w:t>
      </w:r>
      <w:r>
        <w:t>” on lines 53</w:t>
      </w:r>
      <w:r w:rsidR="00FD77F1">
        <w:t>4</w:t>
      </w:r>
      <w:r>
        <w:t>-53</w:t>
      </w:r>
      <w:r w:rsidR="00FD77F1">
        <w:t>8</w:t>
      </w:r>
      <w:r>
        <w:t xml:space="preserve"> and 54</w:t>
      </w:r>
      <w:r w:rsidR="00FD77F1">
        <w:t>0</w:t>
      </w:r>
      <w:r>
        <w:t>-54</w:t>
      </w:r>
      <w:r w:rsidR="00FD77F1">
        <w:t>2</w:t>
      </w:r>
      <w:r>
        <w:t xml:space="preserve"> of the conclusion section, respectively. We have also included a condensed version of this idea in the abstract on line 50-52: “</w:t>
      </w:r>
      <w:r w:rsidRPr="00563AF0">
        <w:rPr>
          <w:i/>
          <w:iCs/>
        </w:rPr>
        <w:t>Studies of the newly identified potential proteins should be urgently performed as these proteins may have roles in THEV-induced immunosuppression.</w:t>
      </w:r>
      <w:r>
        <w:t>”</w:t>
      </w:r>
    </w:p>
    <w:p w14:paraId="47A99E4F" w14:textId="6AA7B318" w:rsidR="002816CF" w:rsidRDefault="00C11A07" w:rsidP="00FB6839">
      <w:pPr>
        <w:rPr>
          <w:rFonts w:ascii="TimesNewRomanPSMT" w:hAnsi="TimesNewRomanPSMT"/>
          <w:b/>
          <w:bCs/>
          <w:color w:val="000000"/>
          <w:sz w:val="22"/>
          <w:szCs w:val="22"/>
        </w:rPr>
      </w:pPr>
      <w:r w:rsidRPr="00C11A07">
        <w:rPr>
          <w:rFonts w:ascii="TimesNewRomanPSMT" w:hAnsi="TimesNewRomanPSMT"/>
          <w:b/>
          <w:bCs/>
          <w:color w:val="000000"/>
          <w:sz w:val="22"/>
          <w:szCs w:val="22"/>
        </w:rPr>
        <w:br/>
        <w:t>2- While some limitations are mentioned, the authors should consider expanding the challenges posed by overlapping transcripts and the potential for false positives/negatives in transcript assembly.</w:t>
      </w:r>
    </w:p>
    <w:p w14:paraId="7132C59E" w14:textId="6A0CAFD9" w:rsidR="002816CF" w:rsidRDefault="002816CF" w:rsidP="002816CF">
      <w:pPr>
        <w:ind w:left="720"/>
        <w:rPr>
          <w:rFonts w:ascii="TimesNewRomanPSMT" w:hAnsi="TimesNewRomanPSMT"/>
          <w:b/>
          <w:bCs/>
          <w:color w:val="000000"/>
          <w:sz w:val="22"/>
          <w:szCs w:val="22"/>
        </w:rPr>
      </w:pPr>
      <w:r w:rsidRPr="007D0CA5">
        <w:rPr>
          <w:rFonts w:ascii="TimesNewRomanPSMT" w:hAnsi="TimesNewRomanPSMT"/>
          <w:color w:val="000000"/>
          <w:sz w:val="22"/>
          <w:szCs w:val="22"/>
        </w:rPr>
        <w:t xml:space="preserve">We have addressed this by </w:t>
      </w:r>
      <w:r>
        <w:rPr>
          <w:rFonts w:ascii="TimesNewRomanPSMT" w:hAnsi="TimesNewRomanPSMT"/>
          <w:color w:val="000000"/>
          <w:sz w:val="22"/>
          <w:szCs w:val="22"/>
        </w:rPr>
        <w:t xml:space="preserve">discussing more limitations and elaborating on some of those previously stated. In the third paragraph of the discussion section (on lines </w:t>
      </w:r>
      <w:r w:rsidR="00B212F1">
        <w:rPr>
          <w:rFonts w:ascii="TimesNewRomanPSMT" w:hAnsi="TimesNewRomanPSMT"/>
          <w:color w:val="000000"/>
          <w:sz w:val="22"/>
          <w:szCs w:val="22"/>
        </w:rPr>
        <w:t>44</w:t>
      </w:r>
      <w:r w:rsidR="005005F0">
        <w:rPr>
          <w:rFonts w:ascii="TimesNewRomanPSMT" w:hAnsi="TimesNewRomanPSMT"/>
          <w:color w:val="000000"/>
          <w:sz w:val="22"/>
          <w:szCs w:val="22"/>
        </w:rPr>
        <w:t>1</w:t>
      </w:r>
      <w:r w:rsidR="00B212F1">
        <w:rPr>
          <w:rFonts w:ascii="TimesNewRomanPSMT" w:hAnsi="TimesNewRomanPSMT"/>
          <w:color w:val="000000"/>
          <w:sz w:val="22"/>
          <w:szCs w:val="22"/>
        </w:rPr>
        <w:t>-45</w:t>
      </w:r>
      <w:r w:rsidR="005005F0">
        <w:rPr>
          <w:rFonts w:ascii="TimesNewRomanPSMT" w:hAnsi="TimesNewRomanPSMT"/>
          <w:color w:val="000000"/>
          <w:sz w:val="22"/>
          <w:szCs w:val="22"/>
        </w:rPr>
        <w:t>7</w:t>
      </w:r>
      <w:r>
        <w:rPr>
          <w:rFonts w:ascii="TimesNewRomanPSMT" w:hAnsi="TimesNewRomanPSMT"/>
          <w:color w:val="000000"/>
          <w:sz w:val="22"/>
          <w:szCs w:val="22"/>
        </w:rPr>
        <w:t xml:space="preserve">) of the manuscript, we </w:t>
      </w:r>
      <w:r w:rsidR="00B212F1">
        <w:rPr>
          <w:rFonts w:ascii="TimesNewRomanPSMT" w:hAnsi="TimesNewRomanPSMT"/>
          <w:color w:val="000000"/>
          <w:sz w:val="22"/>
          <w:szCs w:val="22"/>
        </w:rPr>
        <w:t>have written this</w:t>
      </w:r>
      <w:r>
        <w:rPr>
          <w:rFonts w:ascii="TimesNewRomanPSMT" w:hAnsi="TimesNewRomanPSMT"/>
          <w:color w:val="000000"/>
          <w:sz w:val="22"/>
          <w:szCs w:val="22"/>
        </w:rPr>
        <w:t>:</w:t>
      </w:r>
      <w:r w:rsidR="00B212F1">
        <w:rPr>
          <w:rFonts w:ascii="TimesNewRomanPSMT" w:hAnsi="TimesNewRomanPSMT"/>
          <w:color w:val="000000"/>
          <w:sz w:val="22"/>
          <w:szCs w:val="22"/>
        </w:rPr>
        <w:t xml:space="preserve"> “</w:t>
      </w:r>
      <w:r w:rsidR="00B212F1" w:rsidRPr="00B212F1">
        <w:rPr>
          <w:i/>
          <w:iCs/>
        </w:rPr>
        <w:t xml:space="preserve">Short read deep sequencing effectively reconstructs full AdV mRNA structures, particularly mapping splice sites (18). However, the substantial overlapping nature of AdV mRNAs and fragmentation during library preparation make it challenging to map the exact TSS, TTS, and PASs of assembled transcripts. As AdVs make heavy use of alternative polyadenylation, short read RNA-seq is ill-equipped to discriminate mRNA variants of the same gene produced via alternative polyadenylation. Thus, shorter variants of alternatively polyadenylated mRNAs may potentially be incorporated into the longer variants during transcript assembly, significantly diminishing the diversity of mRNA in the transcriptome. Also, independent transcripts with significant overlaps may be assembled as a single, longer mRNA, since the short reads alone do not provide enough context for the transcript assembler (StringTie) to distinguish them. Such fusions may affect the transcript expression level estimations by inflating or deflating the expression levels of the transcripts involved, affecting the proper understanding of the temporal gene expression regulation and also the diversity of the </w:t>
      </w:r>
      <w:r w:rsidR="00B212F1" w:rsidRPr="00B212F1">
        <w:rPr>
          <w:i/>
          <w:iCs/>
        </w:rPr>
        <w:lastRenderedPageBreak/>
        <w:t>transcriptome. Transcripts that have reads mistakenly fused with them would have inflated expression levels while those whose reads are counted elsewhere would show false lower expression levels. In our case, since we used other independent methods to validate the splice junctions, we believe these drawbacks to be minimized.</w:t>
      </w:r>
      <w:r w:rsidR="00B212F1">
        <w:t>”</w:t>
      </w:r>
    </w:p>
    <w:p w14:paraId="389183FC" w14:textId="77777777" w:rsidR="00B212F1" w:rsidRDefault="00C11A07" w:rsidP="002816CF">
      <w:pPr>
        <w:ind w:firstLine="720"/>
        <w:rPr>
          <w:rFonts w:ascii="TimesNewRomanPSMT" w:hAnsi="TimesNewRomanPSMT"/>
          <w:b/>
          <w:bCs/>
          <w:color w:val="000000"/>
          <w:sz w:val="22"/>
          <w:szCs w:val="22"/>
        </w:rPr>
      </w:pPr>
      <w:r w:rsidRPr="00C11A07">
        <w:rPr>
          <w:rFonts w:ascii="TimesNewRomanPSMT" w:hAnsi="TimesNewRomanPSMT"/>
          <w:b/>
          <w:bCs/>
          <w:color w:val="000000"/>
          <w:sz w:val="22"/>
          <w:szCs w:val="22"/>
        </w:rPr>
        <w:br/>
        <w:t>Also, here are some limitations that should also be stated:</w:t>
      </w:r>
      <w:r w:rsidRPr="00C11A07">
        <w:rPr>
          <w:rFonts w:ascii="TimesNewRomanPSMT" w:hAnsi="TimesNewRomanPSMT"/>
          <w:b/>
          <w:bCs/>
          <w:color w:val="000000"/>
          <w:sz w:val="22"/>
          <w:szCs w:val="22"/>
        </w:rPr>
        <w:br/>
        <w:t>- The study focused on a specific strain of THEV (the VAS vaccine strain), and findings may not be generalizable to other strains or variants of THEV.</w:t>
      </w:r>
    </w:p>
    <w:p w14:paraId="0790EC67" w14:textId="55E36E7A" w:rsidR="00B212F1" w:rsidRDefault="00B212F1" w:rsidP="00B212F1">
      <w:pPr>
        <w:ind w:left="720"/>
        <w:rPr>
          <w:rFonts w:ascii="TimesNewRomanPSMT" w:hAnsi="TimesNewRomanPSMT"/>
          <w:color w:val="000000"/>
          <w:sz w:val="22"/>
          <w:szCs w:val="22"/>
        </w:rPr>
      </w:pPr>
      <w:r w:rsidRPr="00B212F1">
        <w:rPr>
          <w:rFonts w:ascii="TimesNewRomanPSMT" w:hAnsi="TimesNewRomanPSMT"/>
          <w:color w:val="000000"/>
          <w:sz w:val="22"/>
          <w:szCs w:val="22"/>
        </w:rPr>
        <w:t>We are grateful to the reviewer for suggesting this important point. We have included “</w:t>
      </w:r>
      <w:r w:rsidRPr="00B212F1">
        <w:rPr>
          <w:i/>
          <w:iCs/>
        </w:rPr>
        <w:t>We also note that although THEV genomic sequences show minimal differences between strains (12), the transcriptomes may have significant variations; hence, our results may vary from other THEV strains</w:t>
      </w:r>
      <w:r w:rsidRPr="00B212F1">
        <w:rPr>
          <w:rFonts w:ascii="TimesNewRomanPSMT" w:hAnsi="TimesNewRomanPSMT"/>
          <w:color w:val="000000"/>
          <w:sz w:val="22"/>
          <w:szCs w:val="22"/>
        </w:rPr>
        <w:t xml:space="preserve">” on line </w:t>
      </w:r>
      <w:r>
        <w:rPr>
          <w:rFonts w:ascii="TimesNewRomanPSMT" w:hAnsi="TimesNewRomanPSMT"/>
          <w:color w:val="000000"/>
          <w:sz w:val="22"/>
          <w:szCs w:val="22"/>
        </w:rPr>
        <w:t>53</w:t>
      </w:r>
      <w:r w:rsidR="005005F0">
        <w:rPr>
          <w:rFonts w:ascii="TimesNewRomanPSMT" w:hAnsi="TimesNewRomanPSMT"/>
          <w:color w:val="000000"/>
          <w:sz w:val="22"/>
          <w:szCs w:val="22"/>
        </w:rPr>
        <w:t>1</w:t>
      </w:r>
      <w:r>
        <w:rPr>
          <w:rFonts w:ascii="TimesNewRomanPSMT" w:hAnsi="TimesNewRomanPSMT"/>
          <w:color w:val="000000"/>
          <w:sz w:val="22"/>
          <w:szCs w:val="22"/>
        </w:rPr>
        <w:t>-53</w:t>
      </w:r>
      <w:r w:rsidR="005005F0">
        <w:rPr>
          <w:rFonts w:ascii="TimesNewRomanPSMT" w:hAnsi="TimesNewRomanPSMT"/>
          <w:color w:val="000000"/>
          <w:sz w:val="22"/>
          <w:szCs w:val="22"/>
        </w:rPr>
        <w:t>3</w:t>
      </w:r>
      <w:r w:rsidRPr="00B212F1">
        <w:rPr>
          <w:rFonts w:ascii="TimesNewRomanPSMT" w:hAnsi="TimesNewRomanPSMT"/>
          <w:color w:val="000000"/>
          <w:sz w:val="22"/>
          <w:szCs w:val="22"/>
        </w:rPr>
        <w:t xml:space="preserve"> to communicate this.</w:t>
      </w:r>
    </w:p>
    <w:p w14:paraId="6829669B" w14:textId="59A7706D" w:rsidR="002816CF" w:rsidRDefault="00C11A07" w:rsidP="00B212F1">
      <w:pPr>
        <w:rPr>
          <w:rFonts w:ascii="TimesNewRomanPSMT" w:hAnsi="TimesNewRomanPSMT"/>
          <w:b/>
          <w:bCs/>
          <w:color w:val="000000"/>
          <w:sz w:val="22"/>
          <w:szCs w:val="22"/>
        </w:rPr>
      </w:pPr>
      <w:r w:rsidRPr="00C11A07">
        <w:rPr>
          <w:rFonts w:ascii="TimesNewRomanPSMT" w:hAnsi="TimesNewRomanPSMT"/>
          <w:b/>
          <w:bCs/>
          <w:color w:val="000000"/>
          <w:sz w:val="22"/>
          <w:szCs w:val="22"/>
        </w:rPr>
        <w:br/>
        <w:t>- The study primarily used in vitro experiments with a turkey B-cell line, and the relevance of these findings to in vivo infections or other cell types may be limited.</w:t>
      </w:r>
    </w:p>
    <w:p w14:paraId="30640FBC" w14:textId="5D0B0AA4" w:rsidR="00B212F1" w:rsidRPr="00B212F1" w:rsidRDefault="00B212F1" w:rsidP="00FB2F6F">
      <w:pPr>
        <w:ind w:left="720"/>
        <w:rPr>
          <w:rFonts w:ascii="TimesNewRomanPSMT" w:hAnsi="TimesNewRomanPSMT"/>
          <w:b/>
          <w:bCs/>
          <w:color w:val="000000"/>
          <w:sz w:val="22"/>
          <w:szCs w:val="22"/>
        </w:rPr>
      </w:pPr>
      <w:r w:rsidRPr="00B212F1">
        <w:rPr>
          <w:rFonts w:ascii="TimesNewRomanPSMT" w:hAnsi="TimesNewRomanPSMT"/>
          <w:color w:val="000000"/>
          <w:sz w:val="22"/>
          <w:szCs w:val="22"/>
        </w:rPr>
        <w:t>We are grateful to the reviewer for suggesting this important point. We have included “</w:t>
      </w:r>
      <w:r w:rsidRPr="00B212F1">
        <w:rPr>
          <w:i/>
          <w:iCs/>
        </w:rPr>
        <w:t>Also, performing the study in vivo or with primary turkey cells may show different results</w:t>
      </w:r>
      <w:r>
        <w:t>”</w:t>
      </w:r>
      <w:r w:rsidR="00FB2F6F">
        <w:t xml:space="preserve"> on line 53</w:t>
      </w:r>
      <w:r w:rsidR="005005F0">
        <w:t>3</w:t>
      </w:r>
      <w:r w:rsidR="00FB2F6F">
        <w:t>-53</w:t>
      </w:r>
      <w:r w:rsidR="005005F0">
        <w:t>4</w:t>
      </w:r>
      <w:r w:rsidR="00FB2F6F">
        <w:t>.</w:t>
      </w:r>
    </w:p>
    <w:p w14:paraId="17E9757C" w14:textId="144183A5" w:rsidR="0018440E" w:rsidRDefault="00C11A07">
      <w:pPr>
        <w:rPr>
          <w:rFonts w:ascii="TimesNewRomanPSMT" w:hAnsi="TimesNewRomanPSMT"/>
          <w:b/>
          <w:bCs/>
          <w:color w:val="000000"/>
          <w:sz w:val="22"/>
          <w:szCs w:val="22"/>
        </w:rPr>
      </w:pPr>
      <w:r w:rsidRPr="00C11A07">
        <w:rPr>
          <w:rFonts w:ascii="TimesNewRomanPSMT" w:hAnsi="TimesNewRomanPSMT"/>
          <w:b/>
          <w:bCs/>
          <w:color w:val="000000"/>
          <w:sz w:val="22"/>
          <w:szCs w:val="22"/>
        </w:rPr>
        <w:br/>
        <w:t>- The comparison of THEV gene expression patterns to those of human adenoviruses may introduce biases due to differences in viral biology and host interactions.</w:t>
      </w:r>
    </w:p>
    <w:p w14:paraId="10912CC4" w14:textId="6A67942D" w:rsidR="0018440E" w:rsidRDefault="0018440E" w:rsidP="0018440E">
      <w:pPr>
        <w:ind w:left="720"/>
        <w:rPr>
          <w:rFonts w:ascii="TimesNewRomanPSMT" w:hAnsi="TimesNewRomanPSMT"/>
          <w:b/>
          <w:bCs/>
          <w:color w:val="000000"/>
          <w:sz w:val="22"/>
          <w:szCs w:val="22"/>
        </w:rPr>
      </w:pPr>
      <w:r w:rsidRPr="0018440E">
        <w:rPr>
          <w:rFonts w:ascii="TimesNewRomanPSMT" w:hAnsi="TimesNewRomanPSMT"/>
          <w:color w:val="000000"/>
          <w:sz w:val="22"/>
          <w:szCs w:val="22"/>
        </w:rPr>
        <w:t xml:space="preserve">Unfortunately, our study is the first </w:t>
      </w:r>
      <w:r w:rsidR="000B4002">
        <w:rPr>
          <w:rFonts w:ascii="TimesNewRomanPSMT" w:hAnsi="TimesNewRomanPSMT"/>
          <w:color w:val="000000"/>
          <w:sz w:val="22"/>
          <w:szCs w:val="22"/>
        </w:rPr>
        <w:t xml:space="preserve">of its kind </w:t>
      </w:r>
      <w:r w:rsidRPr="0018440E">
        <w:rPr>
          <w:rFonts w:ascii="TimesNewRomanPSMT" w:hAnsi="TimesNewRomanPSMT"/>
          <w:color w:val="000000"/>
          <w:sz w:val="22"/>
          <w:szCs w:val="22"/>
        </w:rPr>
        <w:t xml:space="preserve">for this </w:t>
      </w:r>
      <w:r w:rsidR="000B4002">
        <w:rPr>
          <w:rFonts w:ascii="TimesNewRomanPSMT" w:hAnsi="TimesNewRomanPSMT"/>
          <w:color w:val="000000"/>
          <w:sz w:val="22"/>
          <w:szCs w:val="22"/>
        </w:rPr>
        <w:t>genus of adeno</w:t>
      </w:r>
      <w:r w:rsidRPr="0018440E">
        <w:rPr>
          <w:rFonts w:ascii="TimesNewRomanPSMT" w:hAnsi="TimesNewRomanPSMT"/>
          <w:color w:val="000000"/>
          <w:sz w:val="22"/>
          <w:szCs w:val="22"/>
        </w:rPr>
        <w:t>virus</w:t>
      </w:r>
      <w:r w:rsidR="000B4002">
        <w:rPr>
          <w:rFonts w:ascii="TimesNewRomanPSMT" w:hAnsi="TimesNewRomanPSMT"/>
          <w:color w:val="000000"/>
          <w:sz w:val="22"/>
          <w:szCs w:val="22"/>
        </w:rPr>
        <w:t xml:space="preserve"> (Siadenoviruses)</w:t>
      </w:r>
      <w:r w:rsidRPr="0018440E">
        <w:rPr>
          <w:rFonts w:ascii="TimesNewRomanPSMT" w:hAnsi="TimesNewRomanPSMT"/>
          <w:color w:val="000000"/>
          <w:sz w:val="22"/>
          <w:szCs w:val="22"/>
        </w:rPr>
        <w:t xml:space="preserve">; hence there is no prior study </w:t>
      </w:r>
      <w:r w:rsidR="000B4002">
        <w:rPr>
          <w:rFonts w:ascii="TimesNewRomanPSMT" w:hAnsi="TimesNewRomanPSMT"/>
          <w:color w:val="000000"/>
          <w:sz w:val="22"/>
          <w:szCs w:val="22"/>
        </w:rPr>
        <w:t xml:space="preserve">or a more closely related virus </w:t>
      </w:r>
      <w:r w:rsidRPr="0018440E">
        <w:rPr>
          <w:rFonts w:ascii="TimesNewRomanPSMT" w:hAnsi="TimesNewRomanPSMT"/>
          <w:color w:val="000000"/>
          <w:sz w:val="22"/>
          <w:szCs w:val="22"/>
        </w:rPr>
        <w:t>to make comparisons but the human adenoviruses which are the best studied.</w:t>
      </w:r>
      <w:r>
        <w:rPr>
          <w:rFonts w:ascii="TimesNewRomanPSMT" w:hAnsi="TimesNewRomanPSMT"/>
          <w:b/>
          <w:bCs/>
          <w:color w:val="000000"/>
          <w:sz w:val="22"/>
          <w:szCs w:val="22"/>
        </w:rPr>
        <w:t xml:space="preserve"> </w:t>
      </w:r>
      <w:r w:rsidR="000B4002" w:rsidRPr="000B4002">
        <w:rPr>
          <w:rFonts w:ascii="TimesNewRomanPSMT" w:hAnsi="TimesNewRomanPSMT"/>
          <w:color w:val="000000"/>
          <w:sz w:val="22"/>
          <w:szCs w:val="22"/>
        </w:rPr>
        <w:t>We acknowledge that there may be substantial differences in viral biology and host interactions; however, the comparisons we make are only to note similari</w:t>
      </w:r>
      <w:r w:rsidR="00F23920">
        <w:rPr>
          <w:rFonts w:ascii="TimesNewRomanPSMT" w:hAnsi="TimesNewRomanPSMT"/>
          <w:color w:val="000000"/>
          <w:sz w:val="22"/>
          <w:szCs w:val="22"/>
        </w:rPr>
        <w:t>ties</w:t>
      </w:r>
      <w:r w:rsidR="000B4002" w:rsidRPr="000B4002">
        <w:rPr>
          <w:rFonts w:ascii="TimesNewRomanPSMT" w:hAnsi="TimesNewRomanPSMT"/>
          <w:color w:val="000000"/>
          <w:sz w:val="22"/>
          <w:szCs w:val="22"/>
        </w:rPr>
        <w:t xml:space="preserve"> or differences between THEV and the human adenoviruses that may suggest a similar biology or process</w:t>
      </w:r>
      <w:r w:rsidR="00A1708C">
        <w:rPr>
          <w:rFonts w:ascii="TimesNewRomanPSMT" w:hAnsi="TimesNewRomanPSMT"/>
          <w:color w:val="000000"/>
          <w:sz w:val="22"/>
          <w:szCs w:val="22"/>
        </w:rPr>
        <w:t xml:space="preserve"> or difference worthy of investigation</w:t>
      </w:r>
      <w:r w:rsidRPr="000B4002">
        <w:rPr>
          <w:rFonts w:ascii="TimesNewRomanPSMT" w:hAnsi="TimesNewRomanPSMT"/>
          <w:color w:val="000000"/>
          <w:sz w:val="22"/>
          <w:szCs w:val="22"/>
        </w:rPr>
        <w:t>.</w:t>
      </w:r>
    </w:p>
    <w:p w14:paraId="4A299F2F" w14:textId="77777777" w:rsidR="007D0CA5" w:rsidRDefault="00C11A07" w:rsidP="0018440E">
      <w:pPr>
        <w:ind w:firstLine="720"/>
        <w:rPr>
          <w:rFonts w:ascii="TimesNewRomanPSMT" w:hAnsi="TimesNewRomanPSMT"/>
          <w:b/>
          <w:bCs/>
          <w:color w:val="000000"/>
          <w:sz w:val="22"/>
          <w:szCs w:val="22"/>
        </w:rPr>
      </w:pPr>
      <w:r w:rsidRPr="00C11A07">
        <w:rPr>
          <w:rFonts w:ascii="TimesNewRomanPSMT" w:hAnsi="TimesNewRomanPSMT"/>
          <w:b/>
          <w:bCs/>
          <w:color w:val="000000"/>
          <w:sz w:val="22"/>
          <w:szCs w:val="22"/>
        </w:rPr>
        <w:br/>
        <w:t>- The study's conclusions are based on the data obtained from a single experiment, and additional studies or replication of the findings would strengthen the reliability of the results.</w:t>
      </w:r>
    </w:p>
    <w:p w14:paraId="158E1126" w14:textId="5D5A1F79" w:rsidR="004114AB" w:rsidRPr="004114AB" w:rsidRDefault="004114AB" w:rsidP="004114AB">
      <w:pPr>
        <w:ind w:left="720"/>
        <w:rPr>
          <w:rFonts w:ascii="TimesNewRomanPSMT" w:hAnsi="TimesNewRomanPSMT"/>
          <w:color w:val="000000"/>
          <w:sz w:val="22"/>
          <w:szCs w:val="22"/>
        </w:rPr>
      </w:pPr>
      <w:r w:rsidRPr="004114AB">
        <w:rPr>
          <w:rFonts w:ascii="TimesNewRomanPSMT" w:hAnsi="TimesNewRomanPSMT"/>
          <w:color w:val="000000"/>
          <w:sz w:val="22"/>
          <w:szCs w:val="22"/>
          <w:highlight w:val="yellow"/>
        </w:rPr>
        <w:t>Since our work is the first transcriptomic study for THEV I’m not sure what the reviewer is requiring us to do here?</w:t>
      </w:r>
    </w:p>
    <w:p w14:paraId="50307CB3" w14:textId="3590F830" w:rsidR="007D0CA5" w:rsidRDefault="00C11A07" w:rsidP="007D0CA5">
      <w:pPr>
        <w:ind w:firstLine="720"/>
        <w:rPr>
          <w:rFonts w:ascii="TimesNewRomanPSMT" w:hAnsi="TimesNewRomanPSMT"/>
          <w:b/>
          <w:bCs/>
          <w:color w:val="000000"/>
          <w:sz w:val="22"/>
          <w:szCs w:val="22"/>
        </w:rPr>
      </w:pPr>
      <w:r w:rsidRPr="00C11A07">
        <w:rPr>
          <w:rFonts w:ascii="TimesNewRomanPSMT" w:hAnsi="TimesNewRomanPSMT"/>
          <w:b/>
          <w:bCs/>
          <w:color w:val="000000"/>
          <w:sz w:val="22"/>
          <w:szCs w:val="22"/>
        </w:rPr>
        <w:br/>
        <w:t>- The challenges or limitations faced during the study, which could provide a more balanced perspective on the study's outcomes, should be stated.</w:t>
      </w:r>
    </w:p>
    <w:p w14:paraId="61BE6C28" w14:textId="5BABE702" w:rsidR="00E842B7" w:rsidRDefault="007D0CA5" w:rsidP="002816CF">
      <w:pPr>
        <w:ind w:left="720"/>
        <w:rPr>
          <w:rFonts w:ascii="TimesNewRomanPSMT" w:hAnsi="TimesNewRomanPSMT"/>
          <w:b/>
          <w:bCs/>
          <w:color w:val="000000"/>
          <w:sz w:val="22"/>
          <w:szCs w:val="22"/>
        </w:rPr>
      </w:pPr>
      <w:r w:rsidRPr="007D0CA5">
        <w:rPr>
          <w:rFonts w:ascii="TimesNewRomanPSMT" w:hAnsi="TimesNewRomanPSMT"/>
          <w:color w:val="000000"/>
          <w:sz w:val="22"/>
          <w:szCs w:val="22"/>
        </w:rPr>
        <w:t xml:space="preserve">We have addressed this by </w:t>
      </w:r>
      <w:r>
        <w:rPr>
          <w:rFonts w:ascii="TimesNewRomanPSMT" w:hAnsi="TimesNewRomanPSMT"/>
          <w:color w:val="000000"/>
          <w:sz w:val="22"/>
          <w:szCs w:val="22"/>
        </w:rPr>
        <w:t xml:space="preserve">including a more elaborate challenges. In the first paragraph of the discussion </w:t>
      </w:r>
      <w:r w:rsidR="002816CF">
        <w:rPr>
          <w:rFonts w:ascii="TimesNewRomanPSMT" w:hAnsi="TimesNewRomanPSMT"/>
          <w:color w:val="000000"/>
          <w:sz w:val="22"/>
          <w:szCs w:val="22"/>
        </w:rPr>
        <w:t xml:space="preserve">section </w:t>
      </w:r>
      <w:r>
        <w:rPr>
          <w:rFonts w:ascii="TimesNewRomanPSMT" w:hAnsi="TimesNewRomanPSMT"/>
          <w:color w:val="000000"/>
          <w:sz w:val="22"/>
          <w:szCs w:val="22"/>
        </w:rPr>
        <w:t>(on lines 42</w:t>
      </w:r>
      <w:r w:rsidR="005005F0">
        <w:rPr>
          <w:rFonts w:ascii="TimesNewRomanPSMT" w:hAnsi="TimesNewRomanPSMT"/>
          <w:color w:val="000000"/>
          <w:sz w:val="22"/>
          <w:szCs w:val="22"/>
        </w:rPr>
        <w:t>1</w:t>
      </w:r>
      <w:r>
        <w:rPr>
          <w:rFonts w:ascii="TimesNewRomanPSMT" w:hAnsi="TimesNewRomanPSMT"/>
          <w:color w:val="000000"/>
          <w:sz w:val="22"/>
          <w:szCs w:val="22"/>
        </w:rPr>
        <w:t>-42</w:t>
      </w:r>
      <w:r w:rsidR="005005F0">
        <w:rPr>
          <w:rFonts w:ascii="TimesNewRomanPSMT" w:hAnsi="TimesNewRomanPSMT"/>
          <w:color w:val="000000"/>
          <w:sz w:val="22"/>
          <w:szCs w:val="22"/>
        </w:rPr>
        <w:t>7</w:t>
      </w:r>
      <w:r>
        <w:rPr>
          <w:rFonts w:ascii="TimesNewRomanPSMT" w:hAnsi="TimesNewRomanPSMT"/>
          <w:color w:val="000000"/>
          <w:sz w:val="22"/>
          <w:szCs w:val="22"/>
        </w:rPr>
        <w:t>)</w:t>
      </w:r>
      <w:r w:rsidR="002816CF">
        <w:rPr>
          <w:rFonts w:ascii="TimesNewRomanPSMT" w:hAnsi="TimesNewRomanPSMT"/>
          <w:color w:val="000000"/>
          <w:sz w:val="22"/>
          <w:szCs w:val="22"/>
        </w:rPr>
        <w:t xml:space="preserve"> of the manuscript</w:t>
      </w:r>
      <w:r>
        <w:rPr>
          <w:rFonts w:ascii="TimesNewRomanPSMT" w:hAnsi="TimesNewRomanPSMT"/>
          <w:color w:val="000000"/>
          <w:sz w:val="22"/>
          <w:szCs w:val="22"/>
        </w:rPr>
        <w:t>, we write these two challenges: “</w:t>
      </w:r>
      <w:r w:rsidRPr="007D0CA5">
        <w:rPr>
          <w:i/>
          <w:iCs/>
        </w:rPr>
        <w:t xml:space="preserve">Furthermore, in our case, no prior transcriptomic studies for THEV exist; hence, assembling the transcripts without any prior experimentally-derived annotation of THEV splicing using only short illumina reads proved difficult. Lastly, we had initially planned to sequence RNA from another time point (8 </w:t>
      </w:r>
      <w:proofErr w:type="spellStart"/>
      <w:r w:rsidRPr="007D0CA5">
        <w:rPr>
          <w:i/>
          <w:iCs/>
        </w:rPr>
        <w:t>hpi</w:t>
      </w:r>
      <w:proofErr w:type="spellEnd"/>
      <w:r w:rsidRPr="007D0CA5">
        <w:rPr>
          <w:i/>
          <w:iCs/>
        </w:rPr>
        <w:t xml:space="preserve">); however, all the RNA samples from 8 </w:t>
      </w:r>
      <w:proofErr w:type="spellStart"/>
      <w:r w:rsidRPr="007D0CA5">
        <w:rPr>
          <w:i/>
          <w:iCs/>
        </w:rPr>
        <w:t>hpi</w:t>
      </w:r>
      <w:proofErr w:type="spellEnd"/>
      <w:r w:rsidRPr="007D0CA5">
        <w:rPr>
          <w:i/>
          <w:iCs/>
        </w:rPr>
        <w:t xml:space="preserve"> and one replicate sample from 12 </w:t>
      </w:r>
      <w:proofErr w:type="spellStart"/>
      <w:r w:rsidRPr="007D0CA5">
        <w:rPr>
          <w:i/>
          <w:iCs/>
        </w:rPr>
        <w:t>hpi</w:t>
      </w:r>
      <w:proofErr w:type="spellEnd"/>
      <w:r w:rsidRPr="007D0CA5">
        <w:rPr>
          <w:i/>
          <w:iCs/>
        </w:rPr>
        <w:t xml:space="preserve"> got too degraded during the library preparation steps to be yield any useful data. We believe that these would have contributed to better insights into the temporal expression levels and splicing.</w:t>
      </w:r>
      <w:r w:rsidRPr="007D0CA5">
        <w:rPr>
          <w:rFonts w:ascii="TimesNewRomanPSMT" w:hAnsi="TimesNewRomanPSMT"/>
          <w:color w:val="000000"/>
          <w:sz w:val="22"/>
          <w:szCs w:val="22"/>
        </w:rPr>
        <w:t>”</w:t>
      </w:r>
      <w:r w:rsidR="00C11A07" w:rsidRPr="007D0CA5">
        <w:rPr>
          <w:rFonts w:ascii="TimesNewRomanPSMT" w:hAnsi="TimesNewRomanPSMT"/>
          <w:b/>
          <w:bCs/>
          <w:color w:val="000000"/>
          <w:sz w:val="22"/>
          <w:szCs w:val="22"/>
        </w:rPr>
        <w:br/>
      </w:r>
      <w:r w:rsidR="00C11A07" w:rsidRPr="00C11A07">
        <w:rPr>
          <w:rFonts w:ascii="TimesNewRomanPSMT" w:hAnsi="TimesNewRomanPSMT"/>
          <w:b/>
          <w:bCs/>
          <w:color w:val="000000"/>
          <w:sz w:val="22"/>
          <w:szCs w:val="22"/>
        </w:rPr>
        <w:br/>
        <w:t>3- The manuscript should be English edited</w:t>
      </w:r>
      <w:r w:rsidR="00C11A07" w:rsidRPr="00C11A07">
        <w:rPr>
          <w:rFonts w:ascii="TimesNewRomanPSMT" w:hAnsi="TimesNewRomanPSMT"/>
          <w:b/>
          <w:bCs/>
          <w:color w:val="000000"/>
          <w:sz w:val="22"/>
          <w:szCs w:val="22"/>
        </w:rPr>
        <w:br/>
        <w:t>- The first definition mentions MOI in line 119 and then abbreviates only at line 482</w:t>
      </w:r>
    </w:p>
    <w:p w14:paraId="0B33DE18" w14:textId="41652D61" w:rsidR="008073A4" w:rsidRDefault="00E842B7" w:rsidP="008073A4">
      <w:pPr>
        <w:ind w:left="720"/>
        <w:rPr>
          <w:rFonts w:ascii="TimesNewRomanPSMT" w:hAnsi="TimesNewRomanPSMT"/>
          <w:color w:val="000000"/>
          <w:sz w:val="22"/>
          <w:szCs w:val="22"/>
        </w:rPr>
      </w:pPr>
      <w:r>
        <w:rPr>
          <w:rFonts w:ascii="TimesNewRomanPSMT" w:hAnsi="TimesNewRomanPSMT"/>
          <w:color w:val="000000"/>
          <w:sz w:val="22"/>
          <w:szCs w:val="22"/>
        </w:rPr>
        <w:t xml:space="preserve">We have addressed this by </w:t>
      </w:r>
      <w:r w:rsidR="00650B92">
        <w:rPr>
          <w:rFonts w:ascii="TimesNewRomanPSMT" w:hAnsi="TimesNewRomanPSMT"/>
          <w:color w:val="000000"/>
          <w:sz w:val="22"/>
          <w:szCs w:val="22"/>
        </w:rPr>
        <w:t xml:space="preserve">spelling out the full </w:t>
      </w:r>
      <w:r>
        <w:rPr>
          <w:rFonts w:ascii="TimesNewRomanPSMT" w:hAnsi="TimesNewRomanPSMT"/>
          <w:color w:val="000000"/>
          <w:sz w:val="22"/>
          <w:szCs w:val="22"/>
        </w:rPr>
        <w:t>defin</w:t>
      </w:r>
      <w:r w:rsidR="00650B92">
        <w:rPr>
          <w:rFonts w:ascii="TimesNewRomanPSMT" w:hAnsi="TimesNewRomanPSMT"/>
          <w:color w:val="000000"/>
          <w:sz w:val="22"/>
          <w:szCs w:val="22"/>
        </w:rPr>
        <w:t>ition of MOI on line</w:t>
      </w:r>
      <w:r w:rsidR="00C05778">
        <w:rPr>
          <w:rFonts w:ascii="TimesNewRomanPSMT" w:hAnsi="TimesNewRomanPSMT"/>
          <w:color w:val="000000"/>
          <w:sz w:val="22"/>
          <w:szCs w:val="22"/>
        </w:rPr>
        <w:t xml:space="preserve"> 1</w:t>
      </w:r>
      <w:r w:rsidR="005005F0">
        <w:rPr>
          <w:rFonts w:ascii="TimesNewRomanPSMT" w:hAnsi="TimesNewRomanPSMT"/>
          <w:color w:val="000000"/>
          <w:sz w:val="22"/>
          <w:szCs w:val="22"/>
        </w:rPr>
        <w:t>46</w:t>
      </w:r>
      <w:r w:rsidR="00650B92">
        <w:rPr>
          <w:rFonts w:ascii="TimesNewRomanPSMT" w:hAnsi="TimesNewRomanPSMT"/>
          <w:color w:val="000000"/>
          <w:sz w:val="22"/>
          <w:szCs w:val="22"/>
        </w:rPr>
        <w:t xml:space="preserve"> and abbreviating it on the second mention on line </w:t>
      </w:r>
      <w:r w:rsidR="00C05778">
        <w:rPr>
          <w:rFonts w:ascii="TimesNewRomanPSMT" w:hAnsi="TimesNewRomanPSMT"/>
          <w:color w:val="000000"/>
          <w:sz w:val="22"/>
          <w:szCs w:val="22"/>
        </w:rPr>
        <w:t>5</w:t>
      </w:r>
      <w:r w:rsidR="005005F0">
        <w:rPr>
          <w:rFonts w:ascii="TimesNewRomanPSMT" w:hAnsi="TimesNewRomanPSMT"/>
          <w:color w:val="000000"/>
          <w:sz w:val="22"/>
          <w:szCs w:val="22"/>
        </w:rPr>
        <w:t>69</w:t>
      </w:r>
      <w:r w:rsidR="00650B92">
        <w:rPr>
          <w:rFonts w:ascii="TimesNewRomanPSMT" w:hAnsi="TimesNewRomanPSMT"/>
          <w:color w:val="000000"/>
          <w:sz w:val="22"/>
          <w:szCs w:val="22"/>
        </w:rPr>
        <w:t>.</w:t>
      </w:r>
    </w:p>
    <w:p w14:paraId="3610EB4B" w14:textId="54B05182" w:rsidR="002648A4" w:rsidRPr="008073A4" w:rsidRDefault="00C11A07" w:rsidP="008073A4">
      <w:pPr>
        <w:rPr>
          <w:rFonts w:ascii="TimesNewRomanPSMT" w:hAnsi="TimesNewRomanPSMT"/>
          <w:color w:val="000000"/>
          <w:sz w:val="22"/>
          <w:szCs w:val="22"/>
        </w:rPr>
      </w:pPr>
      <w:r w:rsidRPr="00C11A07">
        <w:rPr>
          <w:rFonts w:ascii="TimesNewRomanPSMT" w:hAnsi="TimesNewRomanPSMT"/>
          <w:b/>
          <w:bCs/>
          <w:color w:val="000000"/>
          <w:sz w:val="22"/>
          <w:szCs w:val="22"/>
        </w:rPr>
        <w:lastRenderedPageBreak/>
        <w:br/>
        <w:t>- transcription unit, start codon, turkey hemorrhagic enteritis virus should be abbreviated in all manuscripts after first definition</w:t>
      </w:r>
    </w:p>
    <w:p w14:paraId="10E2C4F7" w14:textId="63153627" w:rsidR="00F96DEC" w:rsidRDefault="007D0CA5" w:rsidP="008073A4">
      <w:pPr>
        <w:ind w:left="720"/>
        <w:rPr>
          <w:rFonts w:ascii="TimesNewRomanPSMT" w:hAnsi="TimesNewRomanPSMT"/>
          <w:color w:val="000000"/>
          <w:sz w:val="22"/>
          <w:szCs w:val="22"/>
        </w:rPr>
      </w:pPr>
      <w:r>
        <w:rPr>
          <w:rFonts w:ascii="TimesNewRomanPSMT" w:hAnsi="TimesNewRomanPSMT"/>
          <w:color w:val="000000"/>
          <w:sz w:val="22"/>
          <w:szCs w:val="22"/>
        </w:rPr>
        <w:t xml:space="preserve">We are grateful to the reviewer for pointing this out. </w:t>
      </w:r>
      <w:r w:rsidR="00F96DEC">
        <w:rPr>
          <w:rFonts w:ascii="TimesNewRomanPSMT" w:hAnsi="TimesNewRomanPSMT"/>
          <w:color w:val="000000"/>
          <w:sz w:val="22"/>
          <w:szCs w:val="22"/>
        </w:rPr>
        <w:t xml:space="preserve">We have addressed this comment by </w:t>
      </w:r>
      <w:r w:rsidR="008073A4">
        <w:rPr>
          <w:rFonts w:ascii="TimesNewRomanPSMT" w:hAnsi="TimesNewRomanPSMT"/>
          <w:color w:val="000000"/>
          <w:sz w:val="22"/>
          <w:szCs w:val="22"/>
        </w:rPr>
        <w:t xml:space="preserve">abbreviating the words/terms stated by the reviewer throughout the manuscript after their first definition. The changes were made for transcription unit on lines </w:t>
      </w:r>
      <w:r w:rsidR="00C05778">
        <w:rPr>
          <w:rFonts w:ascii="TimesNewRomanPSMT" w:hAnsi="TimesNewRomanPSMT"/>
          <w:color w:val="000000"/>
          <w:sz w:val="22"/>
          <w:szCs w:val="22"/>
        </w:rPr>
        <w:t>43</w:t>
      </w:r>
      <w:r w:rsidR="005005F0">
        <w:rPr>
          <w:rFonts w:ascii="TimesNewRomanPSMT" w:hAnsi="TimesNewRomanPSMT"/>
          <w:color w:val="000000"/>
          <w:sz w:val="22"/>
          <w:szCs w:val="22"/>
        </w:rPr>
        <w:t>1</w:t>
      </w:r>
      <w:r w:rsidR="00C05778">
        <w:rPr>
          <w:rFonts w:ascii="TimesNewRomanPSMT" w:hAnsi="TimesNewRomanPSMT"/>
          <w:color w:val="000000"/>
          <w:sz w:val="22"/>
          <w:szCs w:val="22"/>
        </w:rPr>
        <w:t>, 59</w:t>
      </w:r>
      <w:r w:rsidR="005005F0">
        <w:rPr>
          <w:rFonts w:ascii="TimesNewRomanPSMT" w:hAnsi="TimesNewRomanPSMT"/>
          <w:color w:val="000000"/>
          <w:sz w:val="22"/>
          <w:szCs w:val="22"/>
        </w:rPr>
        <w:t>5</w:t>
      </w:r>
      <w:r w:rsidR="00C05778">
        <w:rPr>
          <w:rFonts w:ascii="TimesNewRomanPSMT" w:hAnsi="TimesNewRomanPSMT"/>
          <w:color w:val="000000"/>
          <w:sz w:val="22"/>
          <w:szCs w:val="22"/>
        </w:rPr>
        <w:t>, 7</w:t>
      </w:r>
      <w:r w:rsidR="005005F0">
        <w:rPr>
          <w:rFonts w:ascii="TimesNewRomanPSMT" w:hAnsi="TimesNewRomanPSMT"/>
          <w:color w:val="000000"/>
          <w:sz w:val="22"/>
          <w:szCs w:val="22"/>
        </w:rPr>
        <w:t>67</w:t>
      </w:r>
      <w:r w:rsidR="00C05778">
        <w:rPr>
          <w:rFonts w:ascii="TimesNewRomanPSMT" w:hAnsi="TimesNewRomanPSMT"/>
          <w:color w:val="000000"/>
          <w:sz w:val="22"/>
          <w:szCs w:val="22"/>
        </w:rPr>
        <w:t xml:space="preserve">, </w:t>
      </w:r>
      <w:r w:rsidR="005005F0">
        <w:rPr>
          <w:rFonts w:ascii="TimesNewRomanPSMT" w:hAnsi="TimesNewRomanPSMT"/>
          <w:color w:val="000000"/>
          <w:sz w:val="22"/>
          <w:szCs w:val="22"/>
        </w:rPr>
        <w:t>781</w:t>
      </w:r>
      <w:r w:rsidR="00C05778">
        <w:rPr>
          <w:rFonts w:ascii="TimesNewRomanPSMT" w:hAnsi="TimesNewRomanPSMT"/>
          <w:color w:val="000000"/>
          <w:sz w:val="22"/>
          <w:szCs w:val="22"/>
        </w:rPr>
        <w:t xml:space="preserve">, </w:t>
      </w:r>
      <w:r w:rsidR="005005F0">
        <w:rPr>
          <w:rFonts w:ascii="TimesNewRomanPSMT" w:hAnsi="TimesNewRomanPSMT"/>
          <w:color w:val="000000"/>
          <w:sz w:val="22"/>
          <w:szCs w:val="22"/>
        </w:rPr>
        <w:t xml:space="preserve">and </w:t>
      </w:r>
      <w:r w:rsidR="00C05778">
        <w:rPr>
          <w:rFonts w:ascii="TimesNewRomanPSMT" w:hAnsi="TimesNewRomanPSMT"/>
          <w:color w:val="000000"/>
          <w:sz w:val="22"/>
          <w:szCs w:val="22"/>
        </w:rPr>
        <w:t>8</w:t>
      </w:r>
      <w:r w:rsidR="005005F0">
        <w:rPr>
          <w:rFonts w:ascii="TimesNewRomanPSMT" w:hAnsi="TimesNewRomanPSMT"/>
          <w:color w:val="000000"/>
          <w:sz w:val="22"/>
          <w:szCs w:val="22"/>
        </w:rPr>
        <w:t>09</w:t>
      </w:r>
      <w:r w:rsidR="00C05778">
        <w:rPr>
          <w:rFonts w:ascii="TimesNewRomanPSMT" w:hAnsi="TimesNewRomanPSMT"/>
          <w:color w:val="000000"/>
          <w:sz w:val="22"/>
          <w:szCs w:val="22"/>
        </w:rPr>
        <w:t xml:space="preserve">; </w:t>
      </w:r>
      <w:r w:rsidR="008073A4">
        <w:rPr>
          <w:rFonts w:ascii="TimesNewRomanPSMT" w:hAnsi="TimesNewRomanPSMT"/>
          <w:color w:val="000000"/>
          <w:sz w:val="22"/>
          <w:szCs w:val="22"/>
        </w:rPr>
        <w:t>for start codon on lines</w:t>
      </w:r>
      <w:r w:rsidR="00C05778">
        <w:rPr>
          <w:rFonts w:ascii="TimesNewRomanPSMT" w:hAnsi="TimesNewRomanPSMT"/>
          <w:color w:val="000000"/>
          <w:sz w:val="22"/>
          <w:szCs w:val="22"/>
        </w:rPr>
        <w:t xml:space="preserve"> 27</w:t>
      </w:r>
      <w:r w:rsidR="005005F0">
        <w:rPr>
          <w:rFonts w:ascii="TimesNewRomanPSMT" w:hAnsi="TimesNewRomanPSMT"/>
          <w:color w:val="000000"/>
          <w:sz w:val="22"/>
          <w:szCs w:val="22"/>
        </w:rPr>
        <w:t>7</w:t>
      </w:r>
      <w:r w:rsidR="00C05778">
        <w:rPr>
          <w:rFonts w:ascii="TimesNewRomanPSMT" w:hAnsi="TimesNewRomanPSMT"/>
          <w:color w:val="000000"/>
          <w:sz w:val="22"/>
          <w:szCs w:val="22"/>
        </w:rPr>
        <w:t>, 49</w:t>
      </w:r>
      <w:r w:rsidR="005005F0">
        <w:rPr>
          <w:rFonts w:ascii="TimesNewRomanPSMT" w:hAnsi="TimesNewRomanPSMT"/>
          <w:color w:val="000000"/>
          <w:sz w:val="22"/>
          <w:szCs w:val="22"/>
        </w:rPr>
        <w:t>2</w:t>
      </w:r>
      <w:r w:rsidR="00C05778">
        <w:rPr>
          <w:rFonts w:ascii="TimesNewRomanPSMT" w:hAnsi="TimesNewRomanPSMT"/>
          <w:color w:val="000000"/>
          <w:sz w:val="22"/>
          <w:szCs w:val="22"/>
        </w:rPr>
        <w:t xml:space="preserve">, </w:t>
      </w:r>
      <w:r>
        <w:rPr>
          <w:rFonts w:ascii="TimesNewRomanPSMT" w:hAnsi="TimesNewRomanPSMT"/>
          <w:color w:val="000000"/>
          <w:sz w:val="22"/>
          <w:szCs w:val="22"/>
        </w:rPr>
        <w:t>8</w:t>
      </w:r>
      <w:r w:rsidR="005005F0">
        <w:rPr>
          <w:rFonts w:ascii="TimesNewRomanPSMT" w:hAnsi="TimesNewRomanPSMT"/>
          <w:color w:val="000000"/>
          <w:sz w:val="22"/>
          <w:szCs w:val="22"/>
        </w:rPr>
        <w:t>11</w:t>
      </w:r>
      <w:r>
        <w:rPr>
          <w:rFonts w:ascii="TimesNewRomanPSMT" w:hAnsi="TimesNewRomanPSMT"/>
          <w:color w:val="000000"/>
          <w:sz w:val="22"/>
          <w:szCs w:val="22"/>
        </w:rPr>
        <w:t>, 8</w:t>
      </w:r>
      <w:r w:rsidR="005005F0">
        <w:rPr>
          <w:rFonts w:ascii="TimesNewRomanPSMT" w:hAnsi="TimesNewRomanPSMT"/>
          <w:color w:val="000000"/>
          <w:sz w:val="22"/>
          <w:szCs w:val="22"/>
        </w:rPr>
        <w:t>32</w:t>
      </w:r>
      <w:r>
        <w:rPr>
          <w:rFonts w:ascii="TimesNewRomanPSMT" w:hAnsi="TimesNewRomanPSMT"/>
          <w:color w:val="000000"/>
          <w:sz w:val="22"/>
          <w:szCs w:val="22"/>
        </w:rPr>
        <w:t>, 8</w:t>
      </w:r>
      <w:r w:rsidR="005005F0">
        <w:rPr>
          <w:rFonts w:ascii="TimesNewRomanPSMT" w:hAnsi="TimesNewRomanPSMT"/>
          <w:color w:val="000000"/>
          <w:sz w:val="22"/>
          <w:szCs w:val="22"/>
        </w:rPr>
        <w:t>44</w:t>
      </w:r>
      <w:r>
        <w:rPr>
          <w:rFonts w:ascii="TimesNewRomanPSMT" w:hAnsi="TimesNewRomanPSMT"/>
          <w:color w:val="000000"/>
          <w:sz w:val="22"/>
          <w:szCs w:val="22"/>
        </w:rPr>
        <w:t>, and 8</w:t>
      </w:r>
      <w:r w:rsidR="005005F0">
        <w:rPr>
          <w:rFonts w:ascii="TimesNewRomanPSMT" w:hAnsi="TimesNewRomanPSMT"/>
          <w:color w:val="000000"/>
          <w:sz w:val="22"/>
          <w:szCs w:val="22"/>
        </w:rPr>
        <w:t>56</w:t>
      </w:r>
      <w:r w:rsidR="00C05778">
        <w:rPr>
          <w:rFonts w:ascii="TimesNewRomanPSMT" w:hAnsi="TimesNewRomanPSMT"/>
          <w:color w:val="000000"/>
          <w:sz w:val="22"/>
          <w:szCs w:val="22"/>
        </w:rPr>
        <w:t>;</w:t>
      </w:r>
      <w:r w:rsidR="008073A4">
        <w:rPr>
          <w:rFonts w:ascii="TimesNewRomanPSMT" w:hAnsi="TimesNewRomanPSMT"/>
          <w:color w:val="000000"/>
          <w:sz w:val="22"/>
          <w:szCs w:val="22"/>
        </w:rPr>
        <w:t xml:space="preserve"> and for </w:t>
      </w:r>
      <w:r w:rsidR="008073A4" w:rsidRPr="008073A4">
        <w:rPr>
          <w:rFonts w:ascii="TimesNewRomanPSMT" w:hAnsi="TimesNewRomanPSMT"/>
          <w:color w:val="000000"/>
          <w:sz w:val="22"/>
          <w:szCs w:val="22"/>
        </w:rPr>
        <w:t>turkey hemorrhagic enteritis virus</w:t>
      </w:r>
      <w:r w:rsidR="008073A4">
        <w:rPr>
          <w:rFonts w:ascii="TimesNewRomanPSMT" w:hAnsi="TimesNewRomanPSMT"/>
          <w:color w:val="000000"/>
          <w:sz w:val="22"/>
          <w:szCs w:val="22"/>
        </w:rPr>
        <w:t xml:space="preserve"> on line</w:t>
      </w:r>
      <w:r>
        <w:rPr>
          <w:rFonts w:ascii="TimesNewRomanPSMT" w:hAnsi="TimesNewRomanPSMT"/>
          <w:color w:val="000000"/>
          <w:sz w:val="22"/>
          <w:szCs w:val="22"/>
        </w:rPr>
        <w:t xml:space="preserve"> 6</w:t>
      </w:r>
      <w:r w:rsidR="005005F0">
        <w:rPr>
          <w:rFonts w:ascii="TimesNewRomanPSMT" w:hAnsi="TimesNewRomanPSMT"/>
          <w:color w:val="000000"/>
          <w:sz w:val="22"/>
          <w:szCs w:val="22"/>
        </w:rPr>
        <w:t>29</w:t>
      </w:r>
      <w:r>
        <w:rPr>
          <w:rFonts w:ascii="TimesNewRomanPSMT" w:hAnsi="TimesNewRomanPSMT"/>
          <w:color w:val="000000"/>
          <w:sz w:val="22"/>
          <w:szCs w:val="22"/>
        </w:rPr>
        <w:t>.</w:t>
      </w:r>
    </w:p>
    <w:p w14:paraId="45BC509B" w14:textId="19517388" w:rsidR="008743D3" w:rsidRPr="00F96DEC" w:rsidRDefault="008743D3" w:rsidP="004114AB">
      <w:pPr>
        <w:rPr>
          <w:rFonts w:ascii="TimesNewRomanPSMT" w:hAnsi="TimesNewRomanPSMT"/>
          <w:color w:val="000000"/>
          <w:sz w:val="22"/>
          <w:szCs w:val="22"/>
        </w:rPr>
      </w:pPr>
    </w:p>
    <w:sectPr w:rsidR="008743D3" w:rsidRPr="00F96DEC" w:rsidSect="007412D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07"/>
    <w:rsid w:val="00002D34"/>
    <w:rsid w:val="00010C65"/>
    <w:rsid w:val="000144F2"/>
    <w:rsid w:val="0001492F"/>
    <w:rsid w:val="00035930"/>
    <w:rsid w:val="000457CD"/>
    <w:rsid w:val="000553D4"/>
    <w:rsid w:val="00063968"/>
    <w:rsid w:val="00081149"/>
    <w:rsid w:val="00081D33"/>
    <w:rsid w:val="0008420B"/>
    <w:rsid w:val="00090368"/>
    <w:rsid w:val="00090B11"/>
    <w:rsid w:val="00095868"/>
    <w:rsid w:val="000A2A47"/>
    <w:rsid w:val="000A5F9A"/>
    <w:rsid w:val="000B4002"/>
    <w:rsid w:val="000B4AAB"/>
    <w:rsid w:val="000C0FFA"/>
    <w:rsid w:val="000C7A9A"/>
    <w:rsid w:val="000D692F"/>
    <w:rsid w:val="000E24C7"/>
    <w:rsid w:val="000E6BFA"/>
    <w:rsid w:val="00121060"/>
    <w:rsid w:val="0012234B"/>
    <w:rsid w:val="00124101"/>
    <w:rsid w:val="00124A4E"/>
    <w:rsid w:val="0015324F"/>
    <w:rsid w:val="001562BB"/>
    <w:rsid w:val="00163D7A"/>
    <w:rsid w:val="001643CC"/>
    <w:rsid w:val="00177028"/>
    <w:rsid w:val="00183761"/>
    <w:rsid w:val="0018440E"/>
    <w:rsid w:val="001874EC"/>
    <w:rsid w:val="001A503F"/>
    <w:rsid w:val="001B393E"/>
    <w:rsid w:val="001B54A6"/>
    <w:rsid w:val="001B6784"/>
    <w:rsid w:val="001C387B"/>
    <w:rsid w:val="001D390C"/>
    <w:rsid w:val="001E1CA3"/>
    <w:rsid w:val="001E2148"/>
    <w:rsid w:val="001E41AD"/>
    <w:rsid w:val="001E4FE6"/>
    <w:rsid w:val="001F43AE"/>
    <w:rsid w:val="002056E2"/>
    <w:rsid w:val="00205CAD"/>
    <w:rsid w:val="002075F8"/>
    <w:rsid w:val="002140E6"/>
    <w:rsid w:val="00215F7E"/>
    <w:rsid w:val="002238E6"/>
    <w:rsid w:val="00225A50"/>
    <w:rsid w:val="0022743E"/>
    <w:rsid w:val="00232291"/>
    <w:rsid w:val="00235B6E"/>
    <w:rsid w:val="002431B4"/>
    <w:rsid w:val="0024616C"/>
    <w:rsid w:val="00247B2A"/>
    <w:rsid w:val="00254D3B"/>
    <w:rsid w:val="002648A4"/>
    <w:rsid w:val="002816CF"/>
    <w:rsid w:val="0028388E"/>
    <w:rsid w:val="00283DE0"/>
    <w:rsid w:val="00284DF6"/>
    <w:rsid w:val="00290F03"/>
    <w:rsid w:val="00296B20"/>
    <w:rsid w:val="002A3F7F"/>
    <w:rsid w:val="002B71A6"/>
    <w:rsid w:val="002C5551"/>
    <w:rsid w:val="002D013A"/>
    <w:rsid w:val="002D04ED"/>
    <w:rsid w:val="002E5457"/>
    <w:rsid w:val="002E65E1"/>
    <w:rsid w:val="00301909"/>
    <w:rsid w:val="003126BE"/>
    <w:rsid w:val="00314CAA"/>
    <w:rsid w:val="00333674"/>
    <w:rsid w:val="003405FD"/>
    <w:rsid w:val="00343A34"/>
    <w:rsid w:val="00362131"/>
    <w:rsid w:val="00362FC6"/>
    <w:rsid w:val="0037765D"/>
    <w:rsid w:val="00386AD5"/>
    <w:rsid w:val="003875BB"/>
    <w:rsid w:val="00395AFA"/>
    <w:rsid w:val="003C3688"/>
    <w:rsid w:val="003C5D75"/>
    <w:rsid w:val="003C7520"/>
    <w:rsid w:val="003E010C"/>
    <w:rsid w:val="003E69FD"/>
    <w:rsid w:val="00400EFD"/>
    <w:rsid w:val="004012A8"/>
    <w:rsid w:val="0040303A"/>
    <w:rsid w:val="004030C4"/>
    <w:rsid w:val="0040752D"/>
    <w:rsid w:val="004114AB"/>
    <w:rsid w:val="00413F75"/>
    <w:rsid w:val="004156EC"/>
    <w:rsid w:val="00421079"/>
    <w:rsid w:val="004240AE"/>
    <w:rsid w:val="004263E3"/>
    <w:rsid w:val="00430709"/>
    <w:rsid w:val="00450D7E"/>
    <w:rsid w:val="004610D6"/>
    <w:rsid w:val="00465709"/>
    <w:rsid w:val="0047349C"/>
    <w:rsid w:val="00473FF0"/>
    <w:rsid w:val="00482FCD"/>
    <w:rsid w:val="00484059"/>
    <w:rsid w:val="0048495C"/>
    <w:rsid w:val="0048685F"/>
    <w:rsid w:val="00486B43"/>
    <w:rsid w:val="0049017B"/>
    <w:rsid w:val="004B19DC"/>
    <w:rsid w:val="004B1BFF"/>
    <w:rsid w:val="004B4C50"/>
    <w:rsid w:val="004B7142"/>
    <w:rsid w:val="004E158C"/>
    <w:rsid w:val="004E7DD6"/>
    <w:rsid w:val="005005F0"/>
    <w:rsid w:val="00511F8D"/>
    <w:rsid w:val="0051230A"/>
    <w:rsid w:val="00517E78"/>
    <w:rsid w:val="00531CD7"/>
    <w:rsid w:val="005335FA"/>
    <w:rsid w:val="00535FB0"/>
    <w:rsid w:val="0054147B"/>
    <w:rsid w:val="00551FE9"/>
    <w:rsid w:val="00554C31"/>
    <w:rsid w:val="00554CBF"/>
    <w:rsid w:val="00557DF7"/>
    <w:rsid w:val="00563AF0"/>
    <w:rsid w:val="00585E50"/>
    <w:rsid w:val="005924DD"/>
    <w:rsid w:val="00594953"/>
    <w:rsid w:val="005A7EF7"/>
    <w:rsid w:val="005C50B3"/>
    <w:rsid w:val="005C50D7"/>
    <w:rsid w:val="005C775C"/>
    <w:rsid w:val="005E1E9C"/>
    <w:rsid w:val="005F07FC"/>
    <w:rsid w:val="00603082"/>
    <w:rsid w:val="00621534"/>
    <w:rsid w:val="0062195D"/>
    <w:rsid w:val="00632934"/>
    <w:rsid w:val="00634F49"/>
    <w:rsid w:val="00641933"/>
    <w:rsid w:val="00650B92"/>
    <w:rsid w:val="00652A55"/>
    <w:rsid w:val="00654E04"/>
    <w:rsid w:val="00661FA7"/>
    <w:rsid w:val="00667E91"/>
    <w:rsid w:val="00680613"/>
    <w:rsid w:val="00691E8B"/>
    <w:rsid w:val="00692FBC"/>
    <w:rsid w:val="006944B1"/>
    <w:rsid w:val="00697C00"/>
    <w:rsid w:val="006A49A2"/>
    <w:rsid w:val="006A515C"/>
    <w:rsid w:val="006B4849"/>
    <w:rsid w:val="006C6447"/>
    <w:rsid w:val="006E5578"/>
    <w:rsid w:val="006E62DD"/>
    <w:rsid w:val="006F13E8"/>
    <w:rsid w:val="006F39D2"/>
    <w:rsid w:val="006F5039"/>
    <w:rsid w:val="00700EA4"/>
    <w:rsid w:val="00703067"/>
    <w:rsid w:val="007045C5"/>
    <w:rsid w:val="00705E71"/>
    <w:rsid w:val="00717E16"/>
    <w:rsid w:val="007216B2"/>
    <w:rsid w:val="00735C3F"/>
    <w:rsid w:val="007361E9"/>
    <w:rsid w:val="007369BD"/>
    <w:rsid w:val="007412DA"/>
    <w:rsid w:val="00760049"/>
    <w:rsid w:val="0077010D"/>
    <w:rsid w:val="00775F73"/>
    <w:rsid w:val="00776683"/>
    <w:rsid w:val="00782842"/>
    <w:rsid w:val="007837B6"/>
    <w:rsid w:val="00791D63"/>
    <w:rsid w:val="00795F8C"/>
    <w:rsid w:val="007967F6"/>
    <w:rsid w:val="007A0A3B"/>
    <w:rsid w:val="007B09D9"/>
    <w:rsid w:val="007B2254"/>
    <w:rsid w:val="007C00D8"/>
    <w:rsid w:val="007C63DB"/>
    <w:rsid w:val="007D0CA5"/>
    <w:rsid w:val="007D220F"/>
    <w:rsid w:val="007E3079"/>
    <w:rsid w:val="007F14C2"/>
    <w:rsid w:val="007F2389"/>
    <w:rsid w:val="0080514E"/>
    <w:rsid w:val="008073A4"/>
    <w:rsid w:val="00824DEF"/>
    <w:rsid w:val="0082662E"/>
    <w:rsid w:val="00831249"/>
    <w:rsid w:val="00831D0C"/>
    <w:rsid w:val="008360B6"/>
    <w:rsid w:val="00840B41"/>
    <w:rsid w:val="00844615"/>
    <w:rsid w:val="00845FA9"/>
    <w:rsid w:val="00857BF8"/>
    <w:rsid w:val="00863025"/>
    <w:rsid w:val="008743D3"/>
    <w:rsid w:val="00892078"/>
    <w:rsid w:val="008B4359"/>
    <w:rsid w:val="008B4386"/>
    <w:rsid w:val="008C4A4F"/>
    <w:rsid w:val="008C62AD"/>
    <w:rsid w:val="008D1551"/>
    <w:rsid w:val="008D25A9"/>
    <w:rsid w:val="008E3060"/>
    <w:rsid w:val="008E6F35"/>
    <w:rsid w:val="008E71F5"/>
    <w:rsid w:val="008F22C7"/>
    <w:rsid w:val="0091050A"/>
    <w:rsid w:val="009112F2"/>
    <w:rsid w:val="009131ED"/>
    <w:rsid w:val="00915015"/>
    <w:rsid w:val="00917A2F"/>
    <w:rsid w:val="009313BF"/>
    <w:rsid w:val="009323BB"/>
    <w:rsid w:val="00945E91"/>
    <w:rsid w:val="00953E18"/>
    <w:rsid w:val="00973C29"/>
    <w:rsid w:val="009760EA"/>
    <w:rsid w:val="00980F2C"/>
    <w:rsid w:val="00993F0B"/>
    <w:rsid w:val="0099610F"/>
    <w:rsid w:val="00997762"/>
    <w:rsid w:val="009A5EBA"/>
    <w:rsid w:val="009B24FE"/>
    <w:rsid w:val="009B685A"/>
    <w:rsid w:val="009C29E6"/>
    <w:rsid w:val="009C7376"/>
    <w:rsid w:val="009C7FC3"/>
    <w:rsid w:val="009D63D5"/>
    <w:rsid w:val="009E0D34"/>
    <w:rsid w:val="009E3BAD"/>
    <w:rsid w:val="009E4245"/>
    <w:rsid w:val="009F0B12"/>
    <w:rsid w:val="009F45A2"/>
    <w:rsid w:val="00A037E3"/>
    <w:rsid w:val="00A06223"/>
    <w:rsid w:val="00A06F25"/>
    <w:rsid w:val="00A136BC"/>
    <w:rsid w:val="00A157B4"/>
    <w:rsid w:val="00A1708C"/>
    <w:rsid w:val="00A173E7"/>
    <w:rsid w:val="00A24F6A"/>
    <w:rsid w:val="00A3214F"/>
    <w:rsid w:val="00A61DC7"/>
    <w:rsid w:val="00A82A30"/>
    <w:rsid w:val="00A82EE1"/>
    <w:rsid w:val="00A856A3"/>
    <w:rsid w:val="00A97A2C"/>
    <w:rsid w:val="00AA4B97"/>
    <w:rsid w:val="00AA5429"/>
    <w:rsid w:val="00AA75AC"/>
    <w:rsid w:val="00AD439F"/>
    <w:rsid w:val="00AE0606"/>
    <w:rsid w:val="00AE6BBF"/>
    <w:rsid w:val="00AF4B07"/>
    <w:rsid w:val="00B0030C"/>
    <w:rsid w:val="00B10745"/>
    <w:rsid w:val="00B212F1"/>
    <w:rsid w:val="00B33123"/>
    <w:rsid w:val="00B37B7B"/>
    <w:rsid w:val="00B51270"/>
    <w:rsid w:val="00B61A70"/>
    <w:rsid w:val="00B64A1B"/>
    <w:rsid w:val="00B66AF7"/>
    <w:rsid w:val="00B74D4A"/>
    <w:rsid w:val="00B806DD"/>
    <w:rsid w:val="00B80967"/>
    <w:rsid w:val="00B96A93"/>
    <w:rsid w:val="00BA4E34"/>
    <w:rsid w:val="00BB44B9"/>
    <w:rsid w:val="00BD47BC"/>
    <w:rsid w:val="00BD578B"/>
    <w:rsid w:val="00BD749A"/>
    <w:rsid w:val="00BE0890"/>
    <w:rsid w:val="00BE7FFC"/>
    <w:rsid w:val="00BF2FCF"/>
    <w:rsid w:val="00BF5B3C"/>
    <w:rsid w:val="00C024F8"/>
    <w:rsid w:val="00C05778"/>
    <w:rsid w:val="00C11A07"/>
    <w:rsid w:val="00C26D37"/>
    <w:rsid w:val="00C27F2E"/>
    <w:rsid w:val="00C377E7"/>
    <w:rsid w:val="00C54E0C"/>
    <w:rsid w:val="00C550AF"/>
    <w:rsid w:val="00C62234"/>
    <w:rsid w:val="00C633EC"/>
    <w:rsid w:val="00C63F9D"/>
    <w:rsid w:val="00C77256"/>
    <w:rsid w:val="00C820C4"/>
    <w:rsid w:val="00C86FA4"/>
    <w:rsid w:val="00C937B9"/>
    <w:rsid w:val="00CA04D8"/>
    <w:rsid w:val="00CC2A17"/>
    <w:rsid w:val="00CC7C33"/>
    <w:rsid w:val="00CC7FC9"/>
    <w:rsid w:val="00CD437E"/>
    <w:rsid w:val="00CD49BB"/>
    <w:rsid w:val="00CE41BD"/>
    <w:rsid w:val="00CF0E5A"/>
    <w:rsid w:val="00CF645C"/>
    <w:rsid w:val="00CF6571"/>
    <w:rsid w:val="00D11852"/>
    <w:rsid w:val="00D266CF"/>
    <w:rsid w:val="00D315B6"/>
    <w:rsid w:val="00D32816"/>
    <w:rsid w:val="00D32AED"/>
    <w:rsid w:val="00D3634E"/>
    <w:rsid w:val="00D41C36"/>
    <w:rsid w:val="00D42A39"/>
    <w:rsid w:val="00D43254"/>
    <w:rsid w:val="00D5127B"/>
    <w:rsid w:val="00D72A7E"/>
    <w:rsid w:val="00D74820"/>
    <w:rsid w:val="00D750CB"/>
    <w:rsid w:val="00D9106E"/>
    <w:rsid w:val="00D94DCD"/>
    <w:rsid w:val="00D973F0"/>
    <w:rsid w:val="00DA75DE"/>
    <w:rsid w:val="00DC64A7"/>
    <w:rsid w:val="00DD1DAF"/>
    <w:rsid w:val="00DE03A0"/>
    <w:rsid w:val="00DE64A2"/>
    <w:rsid w:val="00DE77F6"/>
    <w:rsid w:val="00DF4D2B"/>
    <w:rsid w:val="00DF6FB8"/>
    <w:rsid w:val="00E031C5"/>
    <w:rsid w:val="00E05D1D"/>
    <w:rsid w:val="00E1759C"/>
    <w:rsid w:val="00E32851"/>
    <w:rsid w:val="00E4105A"/>
    <w:rsid w:val="00E55B17"/>
    <w:rsid w:val="00E63ABA"/>
    <w:rsid w:val="00E7227E"/>
    <w:rsid w:val="00E81500"/>
    <w:rsid w:val="00E842B7"/>
    <w:rsid w:val="00E87260"/>
    <w:rsid w:val="00EE381C"/>
    <w:rsid w:val="00EE7608"/>
    <w:rsid w:val="00EE7CDA"/>
    <w:rsid w:val="00EF1ADE"/>
    <w:rsid w:val="00EF63AF"/>
    <w:rsid w:val="00F172CB"/>
    <w:rsid w:val="00F200E5"/>
    <w:rsid w:val="00F205DC"/>
    <w:rsid w:val="00F23715"/>
    <w:rsid w:val="00F23920"/>
    <w:rsid w:val="00F26A1C"/>
    <w:rsid w:val="00F3251B"/>
    <w:rsid w:val="00F3369E"/>
    <w:rsid w:val="00F3563E"/>
    <w:rsid w:val="00F42CD1"/>
    <w:rsid w:val="00F5167B"/>
    <w:rsid w:val="00F5283E"/>
    <w:rsid w:val="00F66FCB"/>
    <w:rsid w:val="00F96DEC"/>
    <w:rsid w:val="00FB2F6F"/>
    <w:rsid w:val="00FB463F"/>
    <w:rsid w:val="00FB4B19"/>
    <w:rsid w:val="00FB6839"/>
    <w:rsid w:val="00FD77F1"/>
    <w:rsid w:val="00FE05EA"/>
    <w:rsid w:val="00FF1485"/>
    <w:rsid w:val="00FF4C12"/>
    <w:rsid w:val="00FF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5BB3F"/>
  <w15:chartTrackingRefBased/>
  <w15:docId w15:val="{B77B7B03-F268-D14C-9ED8-869EADD2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A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1A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1A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1A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1A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A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1A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1A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1A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1A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1A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1A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1A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A07"/>
    <w:rPr>
      <w:i/>
      <w:iCs/>
      <w:color w:val="404040" w:themeColor="text1" w:themeTint="BF"/>
    </w:rPr>
  </w:style>
  <w:style w:type="paragraph" w:styleId="ListParagraph">
    <w:name w:val="List Paragraph"/>
    <w:basedOn w:val="Normal"/>
    <w:uiPriority w:val="34"/>
    <w:qFormat/>
    <w:rsid w:val="00C11A07"/>
    <w:pPr>
      <w:ind w:left="720"/>
      <w:contextualSpacing/>
    </w:pPr>
  </w:style>
  <w:style w:type="character" w:styleId="IntenseEmphasis">
    <w:name w:val="Intense Emphasis"/>
    <w:basedOn w:val="DefaultParagraphFont"/>
    <w:uiPriority w:val="21"/>
    <w:qFormat/>
    <w:rsid w:val="00C11A07"/>
    <w:rPr>
      <w:i/>
      <w:iCs/>
      <w:color w:val="0F4761" w:themeColor="accent1" w:themeShade="BF"/>
    </w:rPr>
  </w:style>
  <w:style w:type="paragraph" w:styleId="IntenseQuote">
    <w:name w:val="Intense Quote"/>
    <w:basedOn w:val="Normal"/>
    <w:next w:val="Normal"/>
    <w:link w:val="IntenseQuoteChar"/>
    <w:uiPriority w:val="30"/>
    <w:qFormat/>
    <w:rsid w:val="00C11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07"/>
    <w:rPr>
      <w:i/>
      <w:iCs/>
      <w:color w:val="0F4761" w:themeColor="accent1" w:themeShade="BF"/>
    </w:rPr>
  </w:style>
  <w:style w:type="character" w:styleId="IntenseReference">
    <w:name w:val="Intense Reference"/>
    <w:basedOn w:val="DefaultParagraphFont"/>
    <w:uiPriority w:val="32"/>
    <w:qFormat/>
    <w:rsid w:val="00C11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168</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Quaye</dc:creator>
  <cp:keywords/>
  <dc:description/>
  <cp:lastModifiedBy>Abraham Quaye</cp:lastModifiedBy>
  <cp:revision>10</cp:revision>
  <dcterms:created xsi:type="dcterms:W3CDTF">2024-07-04T18:27:00Z</dcterms:created>
  <dcterms:modified xsi:type="dcterms:W3CDTF">2024-07-09T18:51:00Z</dcterms:modified>
</cp:coreProperties>
</file>