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8" w:name="X5652f4762a47617dd4051c7852d46d236ed648f"/>
    <w:p>
      <w:pPr>
        <w:pStyle w:val="Heading1"/>
      </w:pPr>
      <w:r>
        <w:t xml:space="preserve">Turkey Hemorrhagic Enteritis Virus transcriptome 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 Joel S. Griffitts, Bradford K. Berges, Brian D. Poole</w:t>
      </w:r>
      <m:oMath>
        <m:sSup>
          <m:e>
            <m:r>
              <m:t>​</m:t>
            </m:r>
          </m:e>
          <m:sup>
            <m:r>
              <m:rPr>
                <m:sty m:val="p"/>
              </m:rPr>
              <m:t>†</m:t>
            </m:r>
          </m:sup>
        </m:sSup>
      </m:oMath>
    </w:p>
    <w:p>
      <w:pPr>
        <w:pStyle w:val="BodyText"/>
      </w:pPr>
      <m:oMath>
        <m:r>
          <m:rPr>
            <m:sty m:val="p"/>
          </m:rPr>
          <m:t>†</m:t>
        </m:r>
      </m:oMath>
      <w:r>
        <w:t xml:space="preserve"> </w:t>
      </w:r>
      <w:r>
        <w:rPr>
          <w:bCs/>
          <w:b/>
        </w:rPr>
        <w:t xml:space="preserve">Corresponding Author</w:t>
      </w:r>
    </w:p>
    <w:p>
      <w:pPr>
        <w:pStyle w:val="BodyText"/>
      </w:pPr>
      <w:r>
        <w:t xml:space="preserve">Department of Microbiology and Molecular Biology,</w:t>
      </w:r>
      <w:r>
        <w:br/>
      </w:r>
      <w:r>
        <w:t xml:space="preserve">Brigham Young University,</w:t>
      </w:r>
      <w:r>
        <w:br/>
      </w:r>
      <w:r>
        <w:t xml:space="preserve">A-153ASB Provo, Utah</w:t>
      </w:r>
    </w:p>
    <w:p>
      <w:r>
        <w:br w:type="page"/>
      </w:r>
    </w:p>
    <w:bookmarkStart w:id="24" w:name="abstract"/>
    <w:p>
      <w:pPr>
        <w:pStyle w:val="Heading2"/>
      </w:pPr>
      <w:r>
        <w:t xml:space="preserve">ABSTRACT</w:t>
      </w:r>
    </w:p>
    <w:bookmarkStart w:id="20" w:name="background"/>
    <w:p>
      <w:pPr>
        <w:pStyle w:val="Heading4"/>
      </w:pPr>
      <w:r>
        <w:t xml:space="preserve">Background:</w:t>
      </w:r>
    </w:p>
    <w:p>
      <w:pPr>
        <w:pStyle w:val="FirstParagraph"/>
      </w:pPr>
      <w:r>
        <w:t xml:space="preserve">Hemorrhagic enteritis (HE)is a disease affecting 6-12-week-old turkeys characterized by</w:t>
      </w:r>
      <w:r>
        <w:t xml:space="preserve"> </w:t>
      </w:r>
      <w:r>
        <w:rPr>
          <w:bCs/>
          <w:b/>
        </w:rPr>
        <w:t xml:space="preserve">immunosuppression (IS)</w:t>
      </w:r>
      <w:r>
        <w:t xml:space="preserve">, bloody diarrhea, and up to 60% mortality. This disease is caused by</w:t>
      </w:r>
      <w:r>
        <w:t xml:space="preserve"> </w:t>
      </w:r>
      <w:r>
        <w:rPr>
          <w:iCs/>
          <w:i/>
          <w:bCs/>
          <w:b/>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bCs/>
          <w:b/>
        </w:rPr>
        <w:t xml:space="preserve">Our objective is to understand the genetic basis by which VAS brings about IS</w:t>
      </w:r>
      <w:r>
        <w:t xml:space="preserve">. The</w:t>
      </w:r>
      <w:r>
        <w:t xml:space="preserve"> </w:t>
      </w:r>
      <w:r>
        <w:rPr>
          <w:bCs/>
          <w:b/>
        </w:rPr>
        <w:t xml:space="preserve">transcriptome of THEV</w:t>
      </w:r>
      <w:r>
        <w:t xml:space="preserve"> </w:t>
      </w:r>
      <w:r>
        <w:t xml:space="preserve">was studied to set the stage for further experimentation with specific viral genes that may mediate IS.</w:t>
      </w:r>
    </w:p>
    <w:bookmarkEnd w:id="20"/>
    <w:bookmarkStart w:id="21" w:name="methods"/>
    <w:p>
      <w:pPr>
        <w:pStyle w:val="Heading4"/>
      </w:pPr>
      <w:r>
        <w:t xml:space="preserve">Methods:</w:t>
      </w:r>
    </w:p>
    <w:p>
      <w:pPr>
        <w:pStyle w:val="FirstParagraph"/>
      </w:pPr>
      <w:r>
        <w:t xml:space="preserve">After infecting a turkey B-cell line (MDTC-RP19) with the VAS vaccine strain, samples in triplicates were collected at 4-, 12-, 24-, and 72-hours post-infection. Total RNA was subsequently extracted, and poly-A-tailed mRNA sequencing done at LC Sciences. The raw sequencing reads were trimmed with the FastQC program, mapped to the THEV genome using Hisat2 and transcripts assembled with StringTie. An in-house script was used to consolidate transcripts from all timepoints, generating the final transcriptome.</w:t>
      </w:r>
    </w:p>
    <w:bookmarkEnd w:id="21"/>
    <w:bookmarkStart w:id="22" w:name="results"/>
    <w:p>
      <w:pPr>
        <w:pStyle w:val="Heading4"/>
      </w:pPr>
      <w:r>
        <w:t xml:space="preserve">Results:</w:t>
      </w:r>
    </w:p>
    <w:p>
      <w:pPr>
        <w:pStyle w:val="FirstParagraph"/>
      </w:pPr>
      <w:r>
        <w:t xml:space="preserve">A total of 18.07 million reads mapped to THEV genome providing good coverage/depth, leaving no regions unmapped. All predicted genes in the genome were represented. In keeping with all adenoviruses, all transcripts were spliced with either with 5’- or 3’-multi exon UTRs hitherto unknown. ThirteenXXXXX novel exons were identified which were validated by PCR and Sanger sequencing. The splicing patterns strongly suggest that there are 3XXXXX main promoters (E1, E3, and major late promoters) driving expression of most of the genes with 2XXXXXX possible minor promoters driving single genes (ORF7 and ORF8).</w:t>
      </w:r>
    </w:p>
    <w:bookmarkEnd w:id="22"/>
    <w:bookmarkStart w:id="23" w:name="conclusions"/>
    <w:p>
      <w:pPr>
        <w:pStyle w:val="Heading4"/>
      </w:pPr>
      <w:r>
        <w:t xml:space="preserve">Conclusions:</w:t>
      </w:r>
    </w:p>
    <w:p>
      <w:pPr>
        <w:pStyle w:val="FirstParagraph"/>
      </w:pPr>
      <w:r>
        <w:t xml:space="preserve">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3"/>
    <w:bookmarkEnd w:id="24"/>
    <w:bookmarkStart w:id="25"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with wide variations in the number of proteins encoded and producing a broad repertoire of proteins via a highly complex alternative splicing mechanism</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60% mortality</w:t>
      </w:r>
      <w:r>
        <w:t xml:space="preserve"> </w:t>
      </w:r>
      <w:r>
        <w:t xml:space="preserve">(11, 12)</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13–15)</w:t>
      </w:r>
      <w:r>
        <w:t xml:space="preserve">. The induced IS also interferes with vaccination schemes for other infections of turkeys</w:t>
      </w:r>
      <w:r>
        <w:t xml:space="preserve"> </w:t>
      </w:r>
      <w:r>
        <w:t xml:space="preserve">(11, 13)</w:t>
      </w:r>
      <w:r>
        <w:t xml:space="preserve">. To eliminate this immunossupressive side-effect of the vaccine, a thorough understanding of the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MAdVs - specifically human adenoviruses - are by far the most extensively studied; hence, most of the current knowledge regarding AdV gene expression and replication is based on MAdV studies, which is used representatively for all other AdVs</w:t>
      </w:r>
      <w:r>
        <w:t xml:space="preserve"> </w:t>
      </w:r>
      <w:r>
        <w:t xml:space="preserve">(6, 16)</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after which the late genes are expressed</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(19)</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(1, 17)</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(17, 20)</w:t>
      </w:r>
      <w:r>
        <w:t xml:space="preserve">. Here, a paired-end deep sequencing experiment was performed to characterize for the first time, the transcriptome of THEV (VAS strain) during different phases of the infection, yielding a complete THEV splicing map. Our paired-end sequencing allowed for reading 149 bp long sequences from each end of cDNA fragments. The data generated from paired-end sequencing, utilized in our experiment, should thus be reliable.</w:t>
      </w:r>
      <w:r>
        <w:t xml:space="preserve"> </w:t>
      </w:r>
    </w:p>
    <w:bookmarkEnd w:id="25"/>
    <w:bookmarkStart w:id="26" w:name="results-1"/>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most THEV transcripts were detectable beginning at 4 hours</w:t>
      </w:r>
      <w:r>
        <w:t xml:space="preserve">(21)</w:t>
      </w:r>
      <w:r>
        <w:t xml:space="preserve">; hence, infected MDTC-RP19 cells were collected in triplicates at 4-, 12-, 24-, and 72-hours post-infection(h.p.i) to ensure an amply wide window for transcript capture. Our 149bp paired-end RNA sequencing experiment yielded an average of 107.16 million total reads per timepoint and the reads mapping to the virus genome increased dramatically from 434 reads at 4 h.p.i to 16.88 million reads at 72 h.p.i. Altogether, 18.07 million reads from all timepoints mapped to THEV genome providing good coverage/depth, leaving no regions unmapped.</w:t>
      </w:r>
    </w:p>
    <w:p>
      <w:r>
        <w:br w:type="page"/>
      </w:r>
    </w:p>
    <w:bookmarkEnd w:id="26"/>
    <w:bookmarkStart w:id="33" w:name="methods-1"/>
    <w:p>
      <w:pPr>
        <w:pStyle w:val="Heading2"/>
      </w:pPr>
      <w:r>
        <w:t xml:space="preserve">METHODS</w:t>
      </w:r>
    </w:p>
    <w:bookmarkStart w:id="27"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7"/>
    <w:bookmarkStart w:id="28"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The RNA quantity and purity was initially assessed using nanodrop,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8"/>
    <w:bookmarkStart w:id="30"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(22)</w:t>
      </w:r>
      <w:r>
        <w:t xml:space="preserve">. Briefly, sequencing reads were trimmed with the</w:t>
      </w:r>
      <w:r>
        <w:t xml:space="preserve"> </w:t>
      </w:r>
      <w:r>
        <w:rPr>
          <w:rStyle w:val="VerbatimChar"/>
        </w:rPr>
        <w:t xml:space="preserve">FastQC</w:t>
      </w:r>
      <w:r>
        <w:t xml:space="preserve">(23)</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9">
        <w:r>
          <w:rPr>
            <w:rStyle w:val="Hyperlink"/>
          </w:rPr>
          <w:t xml:space="preserve">https://www.ncbi.nlm.nih.gov/nuccore/AY849321.1/</w:t>
        </w:r>
      </w:hyperlink>
      <w:r>
        <w:t xml:space="preserve">) using</w:t>
      </w:r>
      <w:r>
        <w:t xml:space="preserve"> </w:t>
      </w:r>
      <w:r>
        <w:rPr>
          <w:rStyle w:val="VerbatimChar"/>
        </w:rPr>
        <w:t xml:space="preserve">Hisat2</w:t>
      </w:r>
      <w:r>
        <w:t xml:space="preserve"> </w:t>
      </w:r>
      <w:r>
        <w:t xml:space="preserve">(version</w:t>
      </w:r>
      <w:r>
        <w:t xml:space="preserve"> </w:t>
      </w:r>
      <w:r>
        <w:rPr>
          <w:rStyle w:val="VerbatimChar"/>
        </w:rPr>
        <w:t xml:space="preserve">xxxxxx</w:t>
      </w:r>
      <w:r>
        <w:t xml:space="preserve">)</w:t>
      </w:r>
      <w:r>
        <w:t xml:space="preserve"> </w:t>
      </w:r>
      <w:r>
        <w:t xml:space="preserve">(22)</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w:t>
      </w:r>
      <w:r>
        <w:t xml:space="preserve"> </w:t>
      </w:r>
      <w:r>
        <w:t xml:space="preserve">(22)</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30"/>
    <w:bookmarkStart w:id="31" w:name="Xff1425f347e09f530a5299bdf9a0694092427a6"/>
    <w:p>
      <w:pPr>
        <w:pStyle w:val="Heading3"/>
      </w:pPr>
      <w:r>
        <w:t xml:space="preserve">PCR Validation of Novel Splice Sites and Sanger Sequencing</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(supplementary PCR methodsXXXXXXXXX).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31"/>
    <w:bookmarkStart w:id="32" w:name="rapid-amplification-of-cdna-ends-3race"/>
    <w:p>
      <w:pPr>
        <w:pStyle w:val="Heading3"/>
      </w:pPr>
      <w:r>
        <w:t xml:space="preserve">3’ Rapid Amplification of cDNA Ends (3’RACE)</w:t>
      </w:r>
    </w:p>
    <w:p>
      <w:r>
        <w:br w:type="page"/>
      </w:r>
    </w:p>
    <w:bookmarkEnd w:id="32"/>
    <w:bookmarkEnd w:id="33"/>
    <w:bookmarkStart w:id="34" w:name="discussionconclusions"/>
    <w:p>
      <w:pPr>
        <w:pStyle w:val="Heading2"/>
      </w:pPr>
      <w:r>
        <w:t xml:space="preserve">DISCUSSION/CONCLUSIONS</w:t>
      </w:r>
    </w:p>
    <w:p>
      <w:r>
        <w:br w:type="page"/>
      </w:r>
    </w:p>
    <w:bookmarkEnd w:id="34"/>
    <w:bookmarkStart w:id="37" w:name="scripts-and-supplementary-materials"/>
    <w:p>
      <w:pPr>
        <w:pStyle w:val="Heading2"/>
      </w:pPr>
      <w:r>
        <w:t xml:space="preserve">SCRIPTS AND SUPPLEMENTARY MATERIALS</w:t>
      </w:r>
    </w:p>
    <w:bookmarkStart w:id="35" w:name="data-availability"/>
    <w:p>
      <w:pPr>
        <w:pStyle w:val="Heading3"/>
      </w:pPr>
      <w:r>
        <w:t xml:space="preserve">DATA AVAILABILITY</w:t>
      </w:r>
    </w:p>
    <w:bookmarkEnd w:id="35"/>
    <w:bookmarkStart w:id="36"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6"/>
    <w:bookmarkEnd w:id="37"/>
    <w:bookmarkStart w:id="38" w:name="acknowledgments"/>
    <w:p>
      <w:pPr>
        <w:pStyle w:val="Heading2"/>
      </w:pPr>
      <w:r>
        <w:t xml:space="preserve">ACKNOWLEDGMENTS</w:t>
      </w:r>
    </w:p>
    <w:p>
      <w:r>
        <w:br w:type="page"/>
      </w:r>
    </w:p>
    <w:bookmarkEnd w:id="38"/>
    <w:bookmarkStart w:id="83" w:name="references"/>
    <w:p>
      <w:pPr>
        <w:pStyle w:val="Heading2"/>
      </w:pPr>
      <w:r>
        <w:t xml:space="preserve">REFERENCES</w:t>
      </w:r>
    </w:p>
    <w:p>
      <w:pPr>
        <w:pStyle w:val="FirstParagraph"/>
      </w:pPr>
    </w:p>
    <w:bookmarkStart w:id="82" w:name="refs"/>
    <w:bookmarkStart w:id="40" w:name="ref-Davison2003"/>
    <w:p>
      <w:pPr>
        <w:pStyle w:val="Bibliography"/>
      </w:pPr>
      <w:r>
        <w:t xml:space="preserve">1.</w:t>
      </w:r>
      <w:r>
        <w:t xml:space="preserve"> </w:t>
      </w:r>
      <w:r>
        <w:t xml:space="preserve">	</w:t>
      </w:r>
      <w:r>
        <w:t xml:space="preserve">Davison A, Benko M, Harrach B. 2003.</w:t>
      </w:r>
      <w:r>
        <w:t xml:space="preserve"> </w:t>
      </w:r>
      <w:hyperlink r:id="rId39">
        <w:r>
          <w:rPr>
            <w:rStyle w:val="Hyperlink"/>
          </w:rPr>
          <w:t xml:space="preserve">Genetic content and evolution of adenoviruses</w:t>
        </w:r>
      </w:hyperlink>
      <w:r>
        <w:t xml:space="preserve">. The Journal of general virology 84:2895–908.</w:t>
      </w:r>
    </w:p>
    <w:bookmarkEnd w:id="40"/>
    <w:bookmarkStart w:id="42" w:name="ref-Harrach2008"/>
    <w:p>
      <w:pPr>
        <w:pStyle w:val="Bibliography"/>
      </w:pPr>
      <w:r>
        <w:t xml:space="preserve">2.</w:t>
      </w:r>
      <w:r>
        <w:t xml:space="preserve"> </w:t>
      </w:r>
      <w:r>
        <w:t xml:space="preserve">	</w:t>
      </w:r>
      <w:r>
        <w:t xml:space="preserve">Harrach B. 2008.</w:t>
      </w:r>
      <w:r>
        <w:t xml:space="preserve"> </w:t>
      </w:r>
      <w:hyperlink r:id="rId41">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42"/>
    <w:bookmarkStart w:id="44" w:name="ref-Upton2003"/>
    <w:p>
      <w:pPr>
        <w:pStyle w:val="Bibliography"/>
      </w:pPr>
      <w:r>
        <w:t xml:space="preserve">3.</w:t>
      </w:r>
      <w:r>
        <w:t xml:space="preserve"> </w:t>
      </w:r>
      <w:r>
        <w:t xml:space="preserve">	</w:t>
      </w:r>
      <w:r>
        <w:t xml:space="preserve">Upton C, Slack S, Hunter AL, Ehlers A, Roper RL. 2003.</w:t>
      </w:r>
      <w:r>
        <w:t xml:space="preserve"> </w:t>
      </w:r>
      <w:hyperlink r:id="rId43">
        <w:r>
          <w:rPr>
            <w:rStyle w:val="Hyperlink"/>
          </w:rPr>
          <w:t xml:space="preserve">Poxvirus orthologous clusters: Toward defining the minimum essential poxvirus genome</w:t>
        </w:r>
      </w:hyperlink>
      <w:r>
        <w:t xml:space="preserve">. Journal of virology 77:7590–7600.</w:t>
      </w:r>
    </w:p>
    <w:bookmarkEnd w:id="44"/>
    <w:bookmarkStart w:id="46" w:name="ref-McGeoch1999"/>
    <w:p>
      <w:pPr>
        <w:pStyle w:val="Bibliography"/>
      </w:pPr>
      <w:r>
        <w:t xml:space="preserve">4.</w:t>
      </w:r>
      <w:r>
        <w:t xml:space="preserve"> </w:t>
      </w:r>
      <w:r>
        <w:t xml:space="preserve">	</w:t>
      </w:r>
      <w:r>
        <w:t xml:space="preserve">McGeoch D, Davison AJ. 1999.</w:t>
      </w:r>
      <w:r>
        <w:t xml:space="preserve"> </w:t>
      </w:r>
      <w:hyperlink r:id="rId45">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6"/>
    <w:bookmarkStart w:id="47"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7"/>
    <w:bookmarkStart w:id="49" w:name="ref-Guimet2016"/>
    <w:p>
      <w:pPr>
        <w:pStyle w:val="Bibliography"/>
      </w:pPr>
      <w:r>
        <w:t xml:space="preserve">6.</w:t>
      </w:r>
      <w:r>
        <w:t xml:space="preserve"> </w:t>
      </w:r>
      <w:r>
        <w:t xml:space="preserve">	</w:t>
      </w:r>
      <w:r>
        <w:t xml:space="preserve">Guimet D, Hearing P. 2016.</w:t>
      </w:r>
      <w:r>
        <w:t xml:space="preserve"> </w:t>
      </w:r>
      <w:hyperlink r:id="rId48">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9"/>
    <w:bookmarkStart w:id="51" w:name="ref-Kovács2011"/>
    <w:p>
      <w:pPr>
        <w:pStyle w:val="Bibliography"/>
      </w:pPr>
      <w:r>
        <w:t xml:space="preserve">7.</w:t>
      </w:r>
      <w:r>
        <w:t xml:space="preserve"> </w:t>
      </w:r>
      <w:r>
        <w:t xml:space="preserve">	</w:t>
      </w:r>
      <w:r>
        <w:t xml:space="preserve">Kovács ER, Benkő M. 2011.</w:t>
      </w:r>
      <w:r>
        <w:t xml:space="preserve"> </w:t>
      </w:r>
      <w:hyperlink r:id="rId50">
        <w:r>
          <w:rPr>
            <w:rStyle w:val="Hyperlink"/>
          </w:rPr>
          <w:t xml:space="preserve">Complete sequence of raptor adenovirus 1 confirms the characteristic genome organization of siadenoviruses</w:t>
        </w:r>
      </w:hyperlink>
      <w:r>
        <w:t xml:space="preserve">. Infection, Genetics and Evolution 11:1058–1065.</w:t>
      </w:r>
    </w:p>
    <w:bookmarkEnd w:id="51"/>
    <w:bookmarkStart w:id="53" w:name="ref-Davison2000"/>
    <w:p>
      <w:pPr>
        <w:pStyle w:val="Bibliography"/>
      </w:pPr>
      <w:r>
        <w:t xml:space="preserve">8.</w:t>
      </w:r>
      <w:r>
        <w:t xml:space="preserve"> </w:t>
      </w:r>
      <w:r>
        <w:t xml:space="preserve">	</w:t>
      </w:r>
      <w:r>
        <w:t xml:space="preserve">Davison AJ, Wright KM, Harrach B. 2000.</w:t>
      </w:r>
      <w:r>
        <w:t xml:space="preserve"> </w:t>
      </w:r>
      <w:hyperlink r:id="rId52">
        <w:r>
          <w:rPr>
            <w:rStyle w:val="Hyperlink"/>
          </w:rPr>
          <w:t xml:space="preserve">DNA sequence of frog adenovirus</w:t>
        </w:r>
      </w:hyperlink>
      <w:r>
        <w:t xml:space="preserve">. J Gen Virol 81:2431–2439.</w:t>
      </w:r>
    </w:p>
    <w:bookmarkEnd w:id="53"/>
    <w:bookmarkStart w:id="55" w:name="ref-Kovács2010"/>
    <w:p>
      <w:pPr>
        <w:pStyle w:val="Bibliography"/>
      </w:pPr>
      <w:r>
        <w:t xml:space="preserve">9.</w:t>
      </w:r>
      <w:r>
        <w:t xml:space="preserve"> </w:t>
      </w:r>
      <w:r>
        <w:t xml:space="preserve">	</w:t>
      </w:r>
      <w:r>
        <w:t xml:space="preserve">Kovács ER, Jánoska M, Dán Á, Harrach B, Benkő M. 2010.</w:t>
      </w:r>
      <w:r>
        <w:t xml:space="preserve"> </w:t>
      </w:r>
      <w:hyperlink r:id="rId54">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5"/>
    <w:bookmarkStart w:id="57" w:name="ref-Katoh2009"/>
    <w:p>
      <w:pPr>
        <w:pStyle w:val="Bibliography"/>
      </w:pPr>
      <w:r>
        <w:t xml:space="preserve">10.</w:t>
      </w:r>
      <w:r>
        <w:t xml:space="preserve"> </w:t>
      </w:r>
      <w:r>
        <w:t xml:space="preserve">	</w:t>
      </w:r>
      <w:r>
        <w:t xml:space="preserve">Katoh H, Ohya K, Kubo M, Murata K, Yanai T, Fukushi H. 2009.</w:t>
      </w:r>
      <w:r>
        <w:t xml:space="preserve"> </w:t>
      </w:r>
      <w:hyperlink r:id="rId56">
        <w:r>
          <w:rPr>
            <w:rStyle w:val="Hyperlink"/>
          </w:rPr>
          <w:t xml:space="preserve">A novel budgerigar-adenovirus belonging to group II avian adenovirus of siadenovirus</w:t>
        </w:r>
      </w:hyperlink>
      <w:r>
        <w:t xml:space="preserve">. Virus Research 144:294–297.</w:t>
      </w:r>
    </w:p>
    <w:bookmarkEnd w:id="57"/>
    <w:bookmarkStart w:id="59" w:name="ref-Beach2006"/>
    <w:p>
      <w:pPr>
        <w:pStyle w:val="Bibliography"/>
      </w:pPr>
      <w:r>
        <w:t xml:space="preserve">11.</w:t>
      </w:r>
      <w:r>
        <w:t xml:space="preserve"> </w:t>
      </w:r>
      <w:r>
        <w:t xml:space="preserve">	</w:t>
      </w:r>
      <w:r>
        <w:t xml:space="preserve">Beach NM. 2006.</w:t>
      </w:r>
      <w:r>
        <w:t xml:space="preserve"> </w:t>
      </w:r>
      <w:hyperlink r:id="rId58">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9"/>
    <w:bookmarkStart w:id="60" w:name="ref-Gross1967"/>
    <w:p>
      <w:pPr>
        <w:pStyle w:val="Bibliography"/>
      </w:pPr>
      <w:r>
        <w:t xml:space="preserve">12.</w:t>
      </w:r>
      <w:r>
        <w:t xml:space="preserve"> </w:t>
      </w:r>
      <w:r>
        <w:t xml:space="preserve">	</w:t>
      </w:r>
      <w:r>
        <w:t xml:space="preserve">Gross WB, Moore WE. 1967. Hemorrhagic enteritis of turkeys. Avian Dis 11:296–307.</w:t>
      </w:r>
    </w:p>
    <w:bookmarkEnd w:id="60"/>
    <w:bookmarkStart w:id="62" w:name="ref-Rautenschlein2000"/>
    <w:p>
      <w:pPr>
        <w:pStyle w:val="Bibliography"/>
      </w:pPr>
      <w:r>
        <w:t xml:space="preserve">13.</w:t>
      </w:r>
      <w:r>
        <w:t xml:space="preserve"> </w:t>
      </w:r>
      <w:r>
        <w:t xml:space="preserve">	</w:t>
      </w:r>
      <w:r>
        <w:t xml:space="preserve">Rautenschlein S, Sharma JM. 2000.</w:t>
      </w:r>
      <w:r>
        <w:t xml:space="preserve"> </w:t>
      </w:r>
      <w:hyperlink r:id="rId61">
        <w:r>
          <w:rPr>
            <w:rStyle w:val="Hyperlink"/>
          </w:rPr>
          <w:t xml:space="preserve">Immunopathogenesis of haemorrhagic enteritis virus (HEV) in turkeys</w:t>
        </w:r>
      </w:hyperlink>
      <w:r>
        <w:t xml:space="preserve">. Dev Comp Immunol 24:237–46.</w:t>
      </w:r>
    </w:p>
    <w:bookmarkEnd w:id="62"/>
    <w:bookmarkStart w:id="63" w:name="ref-Larsen1985"/>
    <w:p>
      <w:pPr>
        <w:pStyle w:val="Bibliography"/>
      </w:pPr>
      <w:r>
        <w:t xml:space="preserve">14.</w:t>
      </w:r>
      <w:r>
        <w:t xml:space="preserve"> </w:t>
      </w:r>
      <w:r>
        <w:t xml:space="preserve">	</w:t>
      </w:r>
      <w:r>
        <w:t xml:space="preserve">Larsen CT, Domermuth CH, Sponenberg DP, Gross WB. 1985. Colibacillosis of turkeys exacerbated by hemorrhagic enteritis virus. Laboratory studies. Avian Dis 29:729–32.</w:t>
      </w:r>
    </w:p>
    <w:bookmarkEnd w:id="63"/>
    <w:bookmarkStart w:id="65" w:name="ref-Dhama2017"/>
    <w:p>
      <w:pPr>
        <w:pStyle w:val="Bibliography"/>
      </w:pPr>
      <w:r>
        <w:t xml:space="preserve">15.</w:t>
      </w:r>
      <w:r>
        <w:t xml:space="preserve"> </w:t>
      </w:r>
      <w:r>
        <w:t xml:space="preserve">	</w:t>
      </w:r>
      <w:r>
        <w:t xml:space="preserve">Dhama K, Gowthaman V, Karthik K, Tiwari R, Sachan S, Kumar MA, Palanivelu M, Malik YS, Singh RK, Munir M. 2017.</w:t>
      </w:r>
      <w:r>
        <w:t xml:space="preserve"> </w:t>
      </w:r>
      <w:hyperlink r:id="rId64">
        <w:r>
          <w:rPr>
            <w:rStyle w:val="Hyperlink"/>
          </w:rPr>
          <w:t xml:space="preserve">Haemorrhagic enteritis of turkeys – current knowledge</w:t>
        </w:r>
      </w:hyperlink>
      <w:r>
        <w:t xml:space="preserve">. Veterinary Quarterly 37:31–42.</w:t>
      </w:r>
    </w:p>
    <w:bookmarkEnd w:id="65"/>
    <w:bookmarkStart w:id="67" w:name="ref-Wolfrum2013"/>
    <w:p>
      <w:pPr>
        <w:pStyle w:val="Bibliography"/>
      </w:pPr>
      <w:r>
        <w:t xml:space="preserve">16.</w:t>
      </w:r>
      <w:r>
        <w:t xml:space="preserve"> </w:t>
      </w:r>
      <w:r>
        <w:t xml:space="preserve">	</w:t>
      </w:r>
      <w:r>
        <w:t xml:space="preserve">Wolfrum N, Greber UF. 2013.</w:t>
      </w:r>
      <w:r>
        <w:t xml:space="preserve"> </w:t>
      </w:r>
      <w:hyperlink r:id="rId66">
        <w:r>
          <w:rPr>
            <w:rStyle w:val="Hyperlink"/>
          </w:rPr>
          <w:t xml:space="preserve">Adenovirus signalling in entry</w:t>
        </w:r>
      </w:hyperlink>
      <w:r>
        <w:t xml:space="preserve">. Cell Microbiol 15:53–62.</w:t>
      </w:r>
    </w:p>
    <w:bookmarkEnd w:id="67"/>
    <w:bookmarkStart w:id="69" w:name="ref-Zhao2014"/>
    <w:p>
      <w:pPr>
        <w:pStyle w:val="Bibliography"/>
      </w:pPr>
      <w:r>
        <w:t xml:space="preserve">17.</w:t>
      </w:r>
      <w:r>
        <w:t xml:space="preserve"> </w:t>
      </w:r>
      <w:r>
        <w:t xml:space="preserve">	</w:t>
      </w:r>
      <w:r>
        <w:t xml:space="preserve">Zhao H, Chen M, Pettersson U. 2014.</w:t>
      </w:r>
      <w:r>
        <w:t xml:space="preserve"> </w:t>
      </w:r>
      <w:hyperlink r:id="rId68">
        <w:r>
          <w:rPr>
            <w:rStyle w:val="Hyperlink"/>
          </w:rPr>
          <w:t xml:space="preserve">A new look at adenovirus splicing</w:t>
        </w:r>
      </w:hyperlink>
      <w:r>
        <w:t xml:space="preserve">. Virology 456-457:329–341.</w:t>
      </w:r>
    </w:p>
    <w:bookmarkEnd w:id="69"/>
    <w:bookmarkStart w:id="71" w:name="ref-Donovan2020"/>
    <w:p>
      <w:pPr>
        <w:pStyle w:val="Bibliography"/>
      </w:pPr>
      <w:r>
        <w:t xml:space="preserve">18.</w:t>
      </w:r>
      <w:r>
        <w:t xml:space="preserve"> </w:t>
      </w:r>
      <w:r>
        <w:t xml:space="preserve">	</w:t>
      </w:r>
      <w:r>
        <w:t xml:space="preserve">Donovan-Banfield I, Turnell AS, Hiscox JA, Leppard KN, Matthews DA. 2020.</w:t>
      </w:r>
      <w:r>
        <w:t xml:space="preserve"> </w:t>
      </w:r>
      <w:hyperlink r:id="rId70">
        <w:r>
          <w:rPr>
            <w:rStyle w:val="Hyperlink"/>
          </w:rPr>
          <w:t xml:space="preserve">Deep splicing plasticity of the human adenovirus type 5 transcriptome drives virus evolution</w:t>
        </w:r>
      </w:hyperlink>
      <w:r>
        <w:t xml:space="preserve">. Communications Biology 3:124.</w:t>
      </w:r>
    </w:p>
    <w:bookmarkEnd w:id="71"/>
    <w:bookmarkStart w:id="73" w:name="ref-Falvey1983"/>
    <w:p>
      <w:pPr>
        <w:pStyle w:val="Bibliography"/>
      </w:pPr>
      <w:r>
        <w:t xml:space="preserve">19.</w:t>
      </w:r>
      <w:r>
        <w:t xml:space="preserve"> </w:t>
      </w:r>
      <w:r>
        <w:t xml:space="preserve">	</w:t>
      </w:r>
      <w:r>
        <w:t xml:space="preserve">Falvey E, Ziff E. 1983.</w:t>
      </w:r>
      <w:r>
        <w:t xml:space="preserve"> </w:t>
      </w:r>
      <w:hyperlink r:id="rId72">
        <w:r>
          <w:rPr>
            <w:rStyle w:val="Hyperlink"/>
          </w:rPr>
          <w:t xml:space="preserve">Sequence arrangement and protein coding capacity of the adenovirus type 2 "i" leader</w:t>
        </w:r>
      </w:hyperlink>
      <w:r>
        <w:t xml:space="preserve">. Journal of Virology 45:185–191.</w:t>
      </w:r>
    </w:p>
    <w:bookmarkEnd w:id="73"/>
    <w:bookmarkStart w:id="75" w:name="ref-Djebali2012"/>
    <w:p>
      <w:pPr>
        <w:pStyle w:val="Bibliography"/>
      </w:pPr>
      <w:r>
        <w:t xml:space="preserve">20.</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4">
        <w:r>
          <w:rPr>
            <w:rStyle w:val="Hyperlink"/>
          </w:rPr>
          <w:t xml:space="preserve">Landscape of transcription in human cells</w:t>
        </w:r>
      </w:hyperlink>
      <w:r>
        <w:t xml:space="preserve">. Nature 489:101–108.</w:t>
      </w:r>
    </w:p>
    <w:bookmarkEnd w:id="75"/>
    <w:bookmarkStart w:id="77" w:name="ref-Aboezz2019"/>
    <w:p>
      <w:pPr>
        <w:pStyle w:val="Bibliography"/>
      </w:pPr>
      <w:r>
        <w:t xml:space="preserve">21.</w:t>
      </w:r>
      <w:r>
        <w:t xml:space="preserve"> </w:t>
      </w:r>
      <w:r>
        <w:t xml:space="preserve">	</w:t>
      </w:r>
      <w:r>
        <w:t xml:space="preserve">Aboezz Z, Mahsoub H, El-Bagoury G, Pierson F. 2019.</w:t>
      </w:r>
      <w:r>
        <w:t xml:space="preserve"> </w:t>
      </w:r>
      <w:hyperlink r:id="rId76">
        <w:r>
          <w:rPr>
            <w:rStyle w:val="Hyperlink"/>
          </w:rPr>
          <w:t xml:space="preserve">In vitro growth kinetics and gene expression analysis of the turkey adenovirus 3, a siadenovirus</w:t>
        </w:r>
      </w:hyperlink>
      <w:r>
        <w:t xml:space="preserve">. Virus Research 263:47–54.</w:t>
      </w:r>
    </w:p>
    <w:bookmarkEnd w:id="77"/>
    <w:bookmarkStart w:id="79" w:name="ref-Pertea2016"/>
    <w:p>
      <w:pPr>
        <w:pStyle w:val="Bibliography"/>
      </w:pPr>
      <w:r>
        <w:t xml:space="preserve">22.</w:t>
      </w:r>
      <w:r>
        <w:t xml:space="preserve"> </w:t>
      </w:r>
      <w:r>
        <w:t xml:space="preserve">	</w:t>
      </w:r>
      <w:r>
        <w:t xml:space="preserve">Pertea M, Kim D, Pertea GM, Leek JT, Salzberg SL. 2016.</w:t>
      </w:r>
      <w:r>
        <w:t xml:space="preserve"> </w:t>
      </w:r>
      <w:hyperlink r:id="rId78">
        <w:r>
          <w:rPr>
            <w:rStyle w:val="Hyperlink"/>
          </w:rPr>
          <w:t xml:space="preserve">Transcript-level expression analysis of RNA-seq experiments with HISAT, StringTie and ballgown</w:t>
        </w:r>
      </w:hyperlink>
      <w:r>
        <w:t xml:space="preserve">. Nature Protocols 11:1650–1667.</w:t>
      </w:r>
    </w:p>
    <w:bookmarkEnd w:id="79"/>
    <w:bookmarkStart w:id="81" w:name="ref-FastQC"/>
    <w:p>
      <w:pPr>
        <w:pStyle w:val="Bibliography"/>
      </w:pPr>
      <w:r>
        <w:t xml:space="preserve">23.</w:t>
      </w:r>
      <w:r>
        <w:t xml:space="preserve"> </w:t>
      </w:r>
      <w:r>
        <w:t xml:space="preserve">	</w:t>
      </w:r>
      <w:r>
        <w:t xml:space="preserve">2015.</w:t>
      </w:r>
      <w:r>
        <w:t xml:space="preserve"> </w:t>
      </w:r>
      <w:hyperlink r:id="rId80">
        <w:r>
          <w:rPr>
            <w:rStyle w:val="Hyperlink"/>
          </w:rPr>
          <w:t xml:space="preserve">FastQC</w:t>
        </w:r>
      </w:hyperlink>
      <w:r>
        <w:t xml:space="preserve">.</w:t>
      </w:r>
    </w:p>
    <w:bookmarkEnd w:id="81"/>
    <w:bookmarkEnd w:id="82"/>
    <w:bookmarkEnd w:id="83"/>
    <w:bookmarkStart w:id="87" w:name="figures"/>
    <w:p>
      <w:pPr>
        <w:pStyle w:val="Heading2"/>
      </w:pPr>
      <w:r>
        <w:t xml:space="preserve">FIGURES</w:t>
      </w:r>
    </w:p>
    <w:p>
      <w:pPr>
        <w:pStyle w:val="FirstParagraph"/>
      </w:pPr>
      <w:r>
        <w:drawing>
          <wp:inline>
            <wp:extent cx="5334000" cy="1906768"/>
            <wp:effectExtent b="0" l="0" r="0" t="0"/>
            <wp:docPr descr="Fig.1" title="" id="85" name="Picture"/>
            <a:graphic>
              <a:graphicData uri="http://schemas.openxmlformats.org/drawingml/2006/picture">
                <pic:pic>
                  <pic:nvPicPr>
                    <pic:cNvPr descr="results/r/thev_genomic_map.png" id="86" name="Picture"/>
                    <pic:cNvPicPr>
                      <a:picLocks noChangeArrowheads="1" noChangeAspect="1"/>
                    </pic:cNvPicPr>
                  </pic:nvPicPr>
                  <pic:blipFill>
                    <a:blip r:embed="rId84"/>
                    <a:stretch>
                      <a:fillRect/>
                    </a:stretch>
                  </pic:blipFill>
                  <pic:spPr bwMode="auto">
                    <a:xfrm>
                      <a:off x="0" y="0"/>
                      <a:ext cx="5334000" cy="1906768"/>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 genes (colored red) that are not conserved across adenovirus genera (i.e. </w:t>
      </w:r>
      <w:r>
        <w:t xml:space="preserve">“</w:t>
      </w:r>
      <w:r>
        <w:t xml:space="preserve">genus-specific</w:t>
      </w:r>
      <w:r>
        <w:t xml:space="preserve">”</w:t>
      </w:r>
      <w:r>
        <w:t xml:space="preserve">). Genes colored in blue are</w:t>
      </w:r>
      <w:r>
        <w:t xml:space="preserve"> </w:t>
      </w:r>
      <w:r>
        <w:t xml:space="preserve">“</w:t>
      </w:r>
      <w:r>
        <w:t xml:space="preserve">genus-common</w:t>
      </w:r>
      <w:r>
        <w:t xml:space="preserve">”</w:t>
      </w:r>
      <w:r>
        <w:t xml:space="preserve">. Gene colored in light green is conserved in all but Atadenoviruses. The U exon (light blue) is an incomplete gene present in almost all AdVs.</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8"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80" Target="https://qubeshub.org/resources/fastqc" TargetMode="External" /><Relationship Type="http://schemas.openxmlformats.org/officeDocument/2006/relationships/hyperlink" Id="rId29" Target="https://www.ncbi.nlm.nih.gov/nuccore/AY849321.1/" TargetMode="External" /><Relationship Type="http://schemas.openxmlformats.org/officeDocument/2006/relationships/hyperlink" Id="rId76" Target="https://www.sciencedirect.com/science/article/abs/pii/S016817021830529X?via%3Dihub" TargetMode="External" /></Relationships>
</file>

<file path=word/_rels/footnotes.xml.rels><?xml version="1.0" encoding="UTF-8"?><Relationships xmlns="http://schemas.openxmlformats.org/package/2006/relationships"><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8"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80" Target="https://qubeshub.org/resources/fastqc" TargetMode="External" /><Relationship Type="http://schemas.openxmlformats.org/officeDocument/2006/relationships/hyperlink" Id="rId29" Target="https://www.ncbi.nlm.nih.gov/nuccore/AY849321.1/" TargetMode="External" /><Relationship Type="http://schemas.openxmlformats.org/officeDocument/2006/relationships/hyperlink" Id="rId76" Target="https://www.sciencedirect.com/science/article/abs/pii/S016817021830529X?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2023-05-21T11:50:10Z</dcterms:created>
  <dcterms:modified xsi:type="dcterms:W3CDTF">2023-05-21T11:50:10Z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font-size">
    <vt:lpwstr>11pt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ies>
</file>