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90.png" ContentType="image/png"/>
  <Override PartName="/word/media/rId105.png" ContentType="image/png"/>
  <Override PartName="/word/media/rId93.png" ContentType="image/png"/>
  <Override PartName="/word/media/rId87.png" ContentType="image/png"/>
  <Override PartName="/word/media/rId99.png" ContentType="image/png"/>
  <Override PartName="/word/media/rId96.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Elucidating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which are grouped into five different 3’-end classes (L1-L5). Each transcription unit (TU) contains its own promoter driving the expression of all the array of mRNA transcripts produced via alternative splicing of the genes encoded in the unit</w:t>
      </w:r>
      <w:r>
        <w:t xml:space="preserve">(6, 17, 18)</w:t>
      </w:r>
      <w:r>
        <w:t xml:space="preserve">. Almost all AdV mRNAs are generated by the excision of one or more introns and most of these introns are located in the 5’ or 3’ UTRs of pre-mRNA. Thus the viral introns scarcely interrupt the open reading frames (ORFs)</w:t>
      </w:r>
      <w:r>
        <w:t xml:space="preserve"> </w:t>
      </w:r>
      <w:r>
        <w:t xml:space="preserve">(1, 18)</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an overall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junctions and mapping reads to the THEV genome over time denotes an active infection, and correlates with our qPCR assay quantifying the total number of viral genome copies over time (</w:t>
      </w:r>
      <w:r>
        <w:rPr>
          <w:bCs/>
          <w:b/>
        </w:rPr>
        <w:t xml:space="preserve">Figure 2b</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final consolidated transcriptome of THEV, a composite of all unredundant transcripts from all time points, we counted a total of</w:t>
      </w:r>
      <w:r>
        <w:t xml:space="preserve"> </w:t>
      </w:r>
      <w:r>
        <w:rPr>
          <w:bCs/>
          <w:b/>
        </w:rPr>
        <w:t xml:space="preserve">28</w:t>
      </w:r>
      <w:r>
        <w:t xml:space="preserve"> </w:t>
      </w:r>
      <w:r>
        <w:t xml:space="preserve">transcripts all of which are novel. Although some exons in some transcripts match the predicted ORFs exactly, most of our identified exons are longer, spanning multiple predicted ORFs (</w:t>
      </w:r>
      <w:r>
        <w:rPr>
          <w:bCs/>
          <w:b/>
        </w:rPr>
        <w:t xml:space="preserve">Figure 3</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splice junction profile over time</w:t>
      </w:r>
      <w:r>
        <w:br/>
      </w:r>
      <w:r>
        <w:t xml:space="preserve">AdV gene expression occurs under exquisite temporal control, supervised by designated promoters for each transcription unit (TU). Each promoter typically produce one or few pre-mRNAs that undergo alternative splicing to yield the manifold repertoire of complex transcripts characteristic of AdVs. To evaluate the activity of each promoter over time, Firstly,</w:t>
      </w:r>
      <w:r>
        <w:t xml:space="preserve"> </w:t>
      </w:r>
      <w:r>
        <w:rPr>
          <w:rStyle w:val="VerbatimChar"/>
        </w:rPr>
        <w:t xml:space="preserve">Ballgown</w:t>
      </w:r>
      <w:r>
        <w:t xml:space="preserve"> </w:t>
      </w:r>
      <w:r>
        <w:t xml:space="preserve">- a program for statistical analysis of assembled transcriptomes, was used to estimate and normalize expression levels of all transcripts in Fragments Per Kilobase of transcript per Million mapped reads (FPKM) units over time. This revealed DBP - from the E2 region - to be the most significantly expressed at 12 h.p.i, whereas MLP region transcripts were most abundantly expressed at 24 and 72 h.p.i as expected (</w:t>
      </w:r>
      <w:r>
        <w:rPr>
          <w:bCs/>
          <w:b/>
        </w:rPr>
        <w:t xml:space="preserve">Figure 4a</w:t>
      </w:r>
      <w:r>
        <w:t xml:space="preserve">). Also, our analysis of the FPKM values of transcripts by region showed a similar pattern: the E2 region as the most significantly overexpressed at 12 h.p.i, after which the MLP region assumes predominance (</w:t>
      </w:r>
      <w:r>
        <w:rPr>
          <w:bCs/>
          <w:b/>
        </w:rPr>
        <w:t xml:space="preserve">Figure 4b</w:t>
      </w:r>
      <w:r>
        <w:t xml:space="preserve">).</w:t>
      </w:r>
      <w:r>
        <w:br/>
      </w:r>
      <w:r>
        <w:t xml:space="preserve">Secondly, we estimated relative abundances of all splice junctions for each time point, counting as significantly expressed only those with coverage of at least 1% of the total splice junction reads counted at the given time point. Very few unique splice junctions and reads were counted at 4 h.p.i; hence, this time point was excluded in this analysis. At 12 h.p.i,</w:t>
      </w:r>
      <w:r>
        <w:t xml:space="preserve"> </w:t>
      </w:r>
      <w:r>
        <w:rPr>
          <w:bCs/>
          <w:b/>
        </w:rPr>
        <w:t xml:space="preserve">20</w:t>
      </w:r>
      <w:r>
        <w:t xml:space="preserve"> </w:t>
      </w:r>
      <w:r>
        <w:t xml:space="preserve">junctions meet the 1% threshold, and were predominantly early region (E1, E2, and E3) junctions, albeit a significant proportion are MLP-derived (</w:t>
      </w:r>
      <w:r>
        <w:rPr>
          <w:bCs/>
          <w:b/>
        </w:rPr>
        <w:t xml:space="preserve">Table 2a</w:t>
      </w:r>
      <w:r>
        <w:t xml:space="preserve">). Junctions from the E2 region were the most abundant at this time point, constituting</w:t>
      </w:r>
      <w:r>
        <w:t xml:space="preserve"> </w:t>
      </w:r>
      <w:r>
        <w:rPr>
          <w:bCs/>
          <w:b/>
        </w:rPr>
        <w:t xml:space="preserve">42.6</w:t>
      </w:r>
      <w:r>
        <w:t xml:space="preserve">% of all junctions. The two most abundant junctions at 12 h.p.i were maintained at 24 h.p.i also as the most significantly expressed. However, the MLP-derived junctions were unsurprisingly the most preponderant overall at this time point,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was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5a</w:t>
      </w:r>
      <w:r>
        <w:t xml:space="preserve">). When we limited this analysis to only junctions in the final transcriptome, the relative abundances of the junctions for each region over time was substantially similar to the pattern seen with all the junctions included (</w:t>
      </w:r>
      <w:r>
        <w:rPr>
          <w:bCs/>
          <w:b/>
        </w:rPr>
        <w:t xml:space="preserve">Figure 5b</w:t>
      </w:r>
      <w:r>
        <w:t xml:space="preserve">).</w:t>
      </w:r>
      <w:r>
        <w:br/>
      </w:r>
      <w:r>
        <w:t xml:space="preserve">Furthermore, we analyzed splice donor and acceptor site nucleotide usage over time to investigate any peculiarities that THEV may show, generally or over the course of the infection. This revealed that, with the exception of one junction (which was a T-G donor-acceptor pair), all splice donor-acceptor pairs in the final transcriptome were the canonical T-A pair.</w:t>
      </w:r>
    </w:p>
    <w:p>
      <w:pPr>
        <w:pStyle w:val="BodyText"/>
      </w:pPr>
      <w:r>
        <w:rPr>
          <w:bCs/>
          <w:b/>
        </w:rPr>
        <w:t xml:space="preserve">Early Region 1 (E1) transcripts</w:t>
      </w:r>
      <w:r>
        <w:t xml:space="preserve">. This region in MAdVs is the first transcribed after successful entry of the viral DNA into the nucleus of the host cell. The host transcription machinery is solely responsible for the transcription of this region. After their translation, the E1 proteins in concert with a myriad of host transcription factors activate the other viral promoters</w:t>
      </w:r>
      <w:r>
        <w:t xml:space="preserve"> </w:t>
      </w:r>
      <w:r>
        <w:t xml:space="preserve">(6)</w:t>
      </w:r>
      <w:r>
        <w:t xml:space="preserve">. We discovered four novel transcripts in this region with varying protein-coding potential (PCP).</w:t>
      </w:r>
    </w:p>
    <w:p>
      <w:pPr>
        <w:pStyle w:val="BodyText"/>
      </w:pPr>
      <w:r>
        <w:rPr>
          <w:strike/>
        </w:rPr>
        <w:t xml:space="preserve">and also validated the predicted ORF (sialidase; ORF1)</w:t>
      </w:r>
      <w:r>
        <w:t xml:space="preserve">.</w:t>
      </w:r>
    </w:p>
    <w:p>
      <w:pPr>
        <w:pStyle w:val="BodyText"/>
      </w:pPr>
      <w:r>
        <w:t xml:space="preserve">Early Region 2A (E2A) transcripts.</w:t>
      </w:r>
    </w:p>
    <w:p>
      <w:pPr>
        <w:pStyle w:val="BodyText"/>
      </w:pPr>
      <w:r>
        <w:t xml:space="preserve">Early Region 2B (E2B) transcripts.</w:t>
      </w:r>
    </w:p>
    <w:p>
      <w:pPr>
        <w:pStyle w:val="BodyText"/>
      </w:pPr>
      <w:r>
        <w:t xml:space="preserve">Early Region 3 (E3) transcripts.</w:t>
      </w:r>
    </w:p>
    <w:p>
      <w:pPr>
        <w:pStyle w:val="BodyText"/>
      </w:pPr>
      <w:r>
        <w:t xml:space="preserve">Early Region 4 (E4) transcripts.</w:t>
      </w:r>
    </w:p>
    <w:p>
      <w:pPr>
        <w:pStyle w:val="BodyText"/>
      </w:pPr>
      <w:r>
        <w:t xml:space="preserve">Intermediate Region (IM) transcripts.</w:t>
      </w:r>
    </w:p>
    <w:p>
      <w:pPr>
        <w:pStyle w:val="BodyText"/>
      </w:pPr>
      <w:r>
        <w:t xml:space="preserve">Major Late Promoter Region (MLP) transcripts.</w:t>
      </w:r>
    </w:p>
    <w:p>
      <w:r>
        <w:br w:type="page"/>
      </w:r>
    </w:p>
    <w:bookmarkEnd w:id="24"/>
    <w:bookmarkStart w:id="32" w:name="materials-and-methods"/>
    <w:p>
      <w:pPr>
        <w:pStyle w:val="Heading2"/>
      </w:pPr>
      <w:r>
        <w:t xml:space="preserve">MATERIALS AND METHODS</w:t>
      </w:r>
    </w:p>
    <w:bookmarkStart w:id="25"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(24)</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w:t>
      </w:r>
    </w:p>
    <w:bookmarkEnd w:id="25"/>
    <w:bookmarkStart w:id="26"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6"/>
    <w:bookmarkStart w:id="29"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(25)</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27">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28">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bookmarkEnd w:id="29"/>
    <w:bookmarkStart w:id="30"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splice junctions beside the predicted junctions, giving a more complete picture of the transcripts.</w:t>
      </w:r>
    </w:p>
    <w:p>
      <w:pPr>
        <w:pStyle w:val="BodyText"/>
      </w:pPr>
      <w:r>
        <w:t xml:space="preserve">The novel splice junctions after consolidating all transcripts with</w:t>
      </w:r>
      <w:r>
        <w:t xml:space="preserve"> </w:t>
      </w:r>
      <w:r>
        <w:rPr>
          <w:rStyle w:val="VerbatimChar"/>
        </w:rPr>
        <w:t xml:space="preserve">StringTie</w:t>
      </w:r>
      <w:r>
        <w:t xml:space="preserve"> </w:t>
      </w:r>
      <w:r>
        <w:t xml:space="preserve">which we validated by PCR and Sanger Sequencing are shown in</w:t>
      </w:r>
      <w:r>
        <w:t xml:space="preserve"> </w:t>
      </w:r>
      <w:r>
        <w:rPr>
          <w:strike/>
        </w:rPr>
        <w:t xml:space="preserve">Table###1</w:t>
      </w:r>
      <w:r>
        <w:t xml:space="preserve">. We designed primers that crossed a range of novel exon–exon boundaries for each specific transcript in a transcription unit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30"/>
    <w:bookmarkStart w:id="31" w:name="rapid-amplification-of-cdna-ends-3race"/>
    <w:p>
      <w:pPr>
        <w:pStyle w:val="Heading3"/>
      </w:pPr>
      <w:r>
        <w:t xml:space="preserve">3’ Rapid Amplification of cDNA Ends (3’RACE)</w:t>
      </w:r>
    </w:p>
    <w:p>
      <w:r>
        <w:br w:type="page"/>
      </w:r>
    </w:p>
    <w:bookmarkEnd w:id="31"/>
    <w:bookmarkEnd w:id="32"/>
    <w:bookmarkStart w:id="33" w:name="discussionconclusions"/>
    <w:p>
      <w:pPr>
        <w:pStyle w:val="Heading2"/>
      </w:pPr>
      <w:r>
        <w:t xml:space="preserve">DISCUSSION/CONCLUSIONS</w:t>
      </w:r>
    </w:p>
    <w:p>
      <w:r>
        <w:br w:type="page"/>
      </w:r>
    </w:p>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(linkXXXXXX)</w:t>
      </w:r>
      <w:r>
        <w:t xml:space="preserve"> </w:t>
      </w:r>
    </w:p>
    <w:bookmarkEnd w:id="35"/>
    <w:bookmarkEnd w:id="36"/>
    <w:bookmarkStart w:id="37" w:name="acknowledgments"/>
    <w:p>
      <w:pPr>
        <w:pStyle w:val="Heading2"/>
      </w:pPr>
      <w:r>
        <w:t xml:space="preserve">ACKNOWLEDGMENTS</w:t>
      </w:r>
    </w:p>
    <w:p>
      <w:pPr>
        <w:pStyle w:val="FirstParagraph"/>
      </w:pPr>
      <w:r>
        <w:t xml:space="preserve">LC Sciences</w:t>
      </w:r>
      <w:r>
        <w:t xml:space="preserve"> </w:t>
      </w:r>
      <w:r>
        <w:rPr>
          <w:rStyle w:val="VerbatimChar"/>
        </w:rPr>
        <w:t xml:space="preserve">Eton Bioscience, Inc, San Diego, CA</w:t>
      </w:r>
      <w:r>
        <w:t xml:space="preserve"> </w:t>
      </w:r>
    </w:p>
    <w:bookmarkEnd w:id="37"/>
    <w:bookmarkStart w:id="86" w:name="references"/>
    <w:p>
      <w:pPr>
        <w:pStyle w:val="Heading2"/>
      </w:pPr>
      <w:r>
        <w:t xml:space="preserve">REFERENCES</w:t>
      </w:r>
    </w:p>
    <w:p>
      <w:pPr>
        <w:pStyle w:val="FirstParagraph"/>
      </w:pPr>
    </w:p>
    <w:bookmarkStart w:id="85"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Pertea2016"/>
    <w:p>
      <w:pPr>
        <w:pStyle w:val="Bibliography"/>
      </w:pPr>
      <w:r>
        <w:t xml:space="preserve">23.</w:t>
      </w:r>
      <w:r>
        <w:t xml:space="preserve"> </w:t>
      </w:r>
      <w:r>
        <w:t xml:space="preserve">	</w:t>
      </w:r>
      <w:r>
        <w:t xml:space="preserve">Pertea M, Kim D, Pertea GM, Leek JT, Salzberg SL. 2016.</w:t>
      </w:r>
      <w:r>
        <w:t xml:space="preserve"> </w:t>
      </w:r>
      <w:hyperlink r:id="rId79">
        <w:r>
          <w:rPr>
            <w:rStyle w:val="Hyperlink"/>
          </w:rPr>
          <w:t xml:space="preserve">Transcript-level expression analysis of RNA-seq experiments with HISAT, StringTie and ballgown</w:t>
        </w:r>
      </w:hyperlink>
      <w:r>
        <w:t xml:space="preserve">. Nature Protocols 11:1650–1667.</w:t>
      </w:r>
    </w:p>
    <w:bookmarkEnd w:id="80"/>
    <w:bookmarkStart w:id="82" w:name="ref-Mahsoub2017"/>
    <w:p>
      <w:pPr>
        <w:pStyle w:val="Bibliography"/>
      </w:pPr>
      <w:r>
        <w:t xml:space="preserve">24.</w:t>
      </w:r>
      <w:r>
        <w:t xml:space="preserve"> </w:t>
      </w:r>
      <w:r>
        <w:t xml:space="preserve">	</w:t>
      </w:r>
      <w:r>
        <w:t xml:space="preserve">Mahsoub HM, Evans NP, Beach NM, Yuan L, Zimmerman K, Pierson FW. 2017.</w:t>
      </w:r>
      <w:r>
        <w:t xml:space="preserve"> </w:t>
      </w:r>
      <w:hyperlink r:id="rId81">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2"/>
    <w:bookmarkStart w:id="84" w:name="ref-FastQC"/>
    <w:p>
      <w:pPr>
        <w:pStyle w:val="Bibliography"/>
      </w:pPr>
      <w:r>
        <w:t xml:space="preserve">25.</w:t>
      </w:r>
      <w:r>
        <w:t xml:space="preserve"> </w:t>
      </w:r>
      <w:r>
        <w:t xml:space="preserve">	</w:t>
      </w:r>
      <w:r>
        <w:t xml:space="preserve">2015.</w:t>
      </w:r>
      <w:r>
        <w:t xml:space="preserve"> </w:t>
      </w:r>
      <w:hyperlink r:id="rId83">
        <w:r>
          <w:rPr>
            <w:rStyle w:val="Hyperlink"/>
          </w:rPr>
          <w:t xml:space="preserve">FastQC</w:t>
        </w:r>
      </w:hyperlink>
      <w:r>
        <w:t xml:space="preserve">.</w:t>
      </w:r>
    </w:p>
    <w:bookmarkEnd w:id="84"/>
    <w:bookmarkEnd w:id="85"/>
    <w:bookmarkEnd w:id="86"/>
    <w:bookmarkStart w:id="111" w:name="tables-and-figures"/>
    <w:p>
      <w:pPr>
        <w:pStyle w:val="Heading2"/>
      </w:pPr>
      <w:r>
        <w:t xml:space="preserve">TABLES AND FIGURES</w:t>
      </w:r>
    </w:p>
    <w:p>
      <w:pPr>
        <w:pStyle w:val="FirstParagraph"/>
      </w:pPr>
      <w:r>
        <w:drawing>
          <wp:inline>
            <wp:extent cx="5334000" cy="3111499"/>
            <wp:effectExtent b="0" l="0" r="0" t="0"/>
            <wp:docPr descr="" title="" id="88" name="Picture"/>
            <a:graphic>
              <a:graphicData uri="http://schemas.openxmlformats.org/drawingml/2006/picture">
                <pic:pic>
                  <pic:nvPicPr>
                    <pic:cNvPr descr="results/r/figures/thev_orf_map.png" id="89" name="Picture"/>
                    <pic:cNvPicPr>
                      <a:picLocks noChangeArrowheads="1" noChangeAspect="1"/>
                    </pic:cNvPicPr>
                  </pic:nvPicPr>
                  <pic:blipFill>
                    <a:blip r:embed="rId87"/>
                    <a:stretch>
                      <a:fillRect/>
                    </a:stretch>
                  </pic:blipFill>
                  <pic:spPr bwMode="auto">
                    <a:xfrm>
                      <a:off x="0" y="0"/>
                      <a:ext cx="5334000" cy="3111499"/>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p>
    <w:p>
      <w:pPr>
        <w:pStyle w:val="BodyText"/>
      </w:pPr>
      <w:r>
        <w:drawing>
          <wp:inline>
            <wp:extent cx="5334000" cy="3556000"/>
            <wp:effectExtent b="0" l="0" r="0" t="0"/>
            <wp:docPr descr="" title="" id="91" name="Picture"/>
            <a:graphic>
              <a:graphicData uri="http://schemas.openxmlformats.org/drawingml/2006/picture">
                <pic:pic>
                  <pic:nvPicPr>
                    <pic:cNvPr descr="results/r/figures/overlay_alltimes.png" id="92" name="Picture"/>
                    <pic:cNvPicPr>
                      <a:picLocks noChangeArrowheads="1" noChangeAspect="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048000"/>
            <wp:effectExtent b="0" l="0" r="0" t="0"/>
            <wp:docPr descr="" title="" id="94" name="Picture"/>
            <a:graphic>
              <a:graphicData uri="http://schemas.openxmlformats.org/drawingml/2006/picture">
                <pic:pic>
                  <pic:nvPicPr>
                    <pic:cNvPr descr="results/r/figures/thev_growth_curve.png" id="95"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rPr>
          <w:bCs/>
          <w:b/>
        </w:rPr>
        <w:t xml:space="preserve">Figure 2.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 show remarkable difference in terms of quantities.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w:t>
      </w:r>
      <w:r>
        <w:t xml:space="preserve"> </w:t>
      </w:r>
      <w:r>
        <w:rPr>
          <w:bCs/>
          <w:b/>
        </w:rPr>
        <w:t xml:space="preserve">b)</w:t>
      </w:r>
      <w:r>
        <w:rPr>
          <w:bCs/>
          <w:b/>
        </w:rPr>
        <w:t xml:space="preserve"> </w:t>
      </w:r>
      <w:r>
        <w:rPr>
          <w:iCs/>
          <w:i/>
          <w:bCs/>
          <w:b/>
        </w:rPr>
        <w:t xml:space="preserve">One-step growth of THEV (VAS vaccine strain) in MDTC-RP19 cell line</w:t>
      </w:r>
      <w:r>
        <w:t xml:space="preserve">. After infecting cells at an MOI of 100 GCN/cell, triplicates of harvested infected cells were quantified with an in-house qPCR assay measuring the total copies of THEV genome. There is no discernible increase in virus titer up 12 h.p.i, after which there is a steady increase in virus titer is measured. The virus titer expands exponentially beginning from 48 h.p.i, increasing by orders of magnitude before reaching a plateau at 120 h.p.i, probably due to high cell death. GCN: genome copy number.</w:t>
      </w:r>
    </w:p>
    <w:p>
      <w:pPr>
        <w:pStyle w:val="BodyText"/>
      </w:pPr>
      <w:r>
        <w:drawing>
          <wp:inline>
            <wp:extent cx="5334000" cy="3555999"/>
            <wp:effectExtent b="0" l="0" r="0" t="0"/>
            <wp:docPr descr="" title="" id="97" name="Picture"/>
            <a:graphic>
              <a:graphicData uri="http://schemas.openxmlformats.org/drawingml/2006/picture">
                <pic:pic>
                  <pic:nvPicPr>
                    <pic:cNvPr descr="results/r/figures/thev_spliced_map.png" id="98" name="Picture"/>
                    <pic:cNvPicPr>
                      <a:picLocks noChangeArrowheads="1" noChangeAspect="1"/>
                    </pic:cNvPicPr>
                  </pic:nvPicPr>
                  <pic:blipFill>
                    <a:blip r:embed="rId96"/>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drawing>
          <wp:inline>
            <wp:extent cx="5334000" cy="4667250"/>
            <wp:effectExtent b="0" l="0" r="0" t="0"/>
            <wp:docPr descr="" title="" id="100" name="Picture"/>
            <a:graphic>
              <a:graphicData uri="http://schemas.openxmlformats.org/drawingml/2006/picture">
                <pic:pic>
                  <pic:nvPicPr>
                    <pic:cNvPr descr="results/r/figures/thev_patched_timepoints_spliced_map.png" id="101" name="Picture"/>
                    <pic:cNvPicPr>
                      <a:picLocks noChangeArrowheads="1" noChangeAspect="1"/>
                    </pic:cNvPicPr>
                  </pic:nvPicPr>
                  <pic:blipFill>
                    <a:blip r:embed="rId99"/>
                    <a:stretch>
                      <a:fillRect/>
                    </a:stretch>
                  </pic:blipFill>
                  <pic:spPr bwMode="auto">
                    <a:xfrm>
                      <a:off x="0" y="0"/>
                      <a:ext cx="5334000" cy="4667250"/>
                    </a:xfrm>
                    <a:prstGeom prst="rect">
                      <a:avLst/>
                    </a:prstGeom>
                    <a:noFill/>
                    <a:ln w="9525">
                      <a:noFill/>
                      <a:headEnd/>
                      <a:tailEnd/>
                    </a:ln>
                  </pic:spPr>
                </pic:pic>
              </a:graphicData>
            </a:graphic>
          </wp:inline>
        </w:drawing>
      </w:r>
      <w:r>
        <w:t xml:space="preserve"> </w:t>
      </w:r>
      <w:r>
        <w:rPr>
          <w:bCs/>
          <w:b/>
        </w:rPr>
        <w:t xml:space="preserve">Figure 3. a)</w:t>
      </w:r>
      <w:r>
        <w:rPr>
          <w:bCs/>
          <w:b/>
        </w:rPr>
        <w:t xml:space="preserve"> </w:t>
      </w:r>
      <w:r>
        <w:rPr>
          <w:bCs/>
          <w:b/>
          <w:bCs/>
          <w:b/>
        </w:rPr>
        <w:t xml:space="preserve">Full transcriptome of THEV</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MLP - blue. Predicted ORFs are also indicated here, colored light grey.</w:t>
      </w:r>
      <w:r>
        <w:t xml:space="preserve"> </w:t>
      </w:r>
      <w:r>
        <w:rPr>
          <w:bCs/>
          <w:b/>
        </w:rPr>
        <w:t xml:space="preserve">b)</w:t>
      </w:r>
      <w:r>
        <w:rPr>
          <w:bCs/>
          <w:b/>
        </w:rPr>
        <w:t xml:space="preserve"> </w:t>
      </w:r>
      <w:r>
        <w:rPr>
          <w:bCs/>
          <w:b/>
          <w:bCs/>
          <w:b/>
        </w:rPr>
        <w:t xml:space="preserve">THEV transcripts identified at given time points</w:t>
      </w:r>
      <w:r>
        <w:t xml:space="preserve">. Transcripts are color coded as explained in</w:t>
      </w:r>
      <w:r>
        <w:t xml:space="preserve"> </w:t>
      </w:r>
      <w:r>
        <w:rPr>
          <w:bCs/>
          <w:b/>
        </w:rPr>
        <w:t xml:space="preserve">a</w:t>
      </w:r>
      <w:r>
        <w:t xml:space="preserve">.</w:t>
      </w:r>
    </w:p>
    <w:p>
      <w:pPr>
        <w:pStyle w:val="BodyText"/>
      </w:pPr>
      <w:r>
        <w:rPr>
          <w:bCs/>
          <w:b/>
        </w:rPr>
        <w:t xml:space="preserve">Table 2A</w:t>
      </w:r>
    </w:p>
    <w:p>
      <w:pPr>
        <w:pStyle w:val="BodyText"/>
      </w:pPr>
      <w:r>
        <w:rPr>
          <w:bCs/>
          <w:b/>
        </w:rPr>
        <w:t xml:space="preserve">Table 2B</w:t>
      </w:r>
    </w:p>
    <w:p>
      <w:pPr>
        <w:pStyle w:val="BodyText"/>
      </w:pPr>
      <w:r>
        <w:rPr>
          <w:bCs/>
          <w:b/>
        </w:rPr>
        <w:t xml:space="preserve">Table 2C</w:t>
      </w:r>
    </w:p>
    <w:p>
      <w:pPr>
        <w:pStyle w:val="BodyText"/>
      </w:pPr>
      <w:r>
        <w:drawing>
          <wp:inline>
            <wp:extent cx="5334000" cy="3556000"/>
            <wp:effectExtent b="0" l="0" r="0" t="0"/>
            <wp:docPr descr="" title="" id="103" name="Picture"/>
            <a:graphic>
              <a:graphicData uri="http://schemas.openxmlformats.org/drawingml/2006/picture">
                <pic:pic>
                  <pic:nvPicPr>
                    <pic:cNvPr descr="results/r/figures/trxpt_fpkm_percent_abund.pn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06" name="Picture"/>
            <a:graphic>
              <a:graphicData uri="http://schemas.openxmlformats.org/drawingml/2006/picture">
                <pic:pic>
                  <pic:nvPicPr>
                    <pic:cNvPr descr="results/r/figures/region_fpkm_percent_abund.png" id="107"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rPr>
          <w:bCs/>
          <w:b/>
        </w:rPr>
        <w:t xml:space="preserve">Figure 4 Overview of change in expression of THEV transcripts over time.</w:t>
      </w:r>
      <w:r>
        <w:t xml:space="preserve"> </w:t>
      </w:r>
      <w:r>
        <w:rPr>
          <w:bCs/>
          <w:b/>
        </w:rPr>
        <w:t xml:space="preserve">a)</w:t>
      </w:r>
      <w:r>
        <w:t xml:space="preserve"> </w:t>
      </w:r>
      <w:r>
        <w:rPr>
          <w:bCs/>
          <w:b/>
        </w:rPr>
        <w:t xml:space="preserve">b)</w:t>
      </w:r>
    </w:p>
    <w:p>
      <w:pPr>
        <w:pStyle w:val="BodyText"/>
      </w:pPr>
      <w:r>
        <w:drawing>
          <wp:inline>
            <wp:extent cx="5334000" cy="3200400"/>
            <wp:effectExtent b="0" l="0" r="0" t="0"/>
            <wp:docPr descr="" title="" id="109" name="Picture"/>
            <a:graphic>
              <a:graphicData uri="http://schemas.openxmlformats.org/drawingml/2006/picture">
                <pic:pic>
                  <pic:nvPicPr>
                    <pic:cNvPr descr="results/r/figures/junc_abundances.png" id="110" name="Picture"/>
                    <pic:cNvPicPr>
                      <a:picLocks noChangeArrowheads="1" noChangeAspect="1"/>
                    </pic:cNvPicPr>
                  </pic:nvPicPr>
                  <pic:blipFill>
                    <a:blip r:embed="rId108"/>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rPr>
          <w:bCs/>
          <w:b/>
        </w:rPr>
        <w:t xml:space="preserve">Figure 5. a) Relative abundances of splice junctions over time as a proxy of estimating activity levels of THEV promoters</w:t>
      </w:r>
      <w:r>
        <w:t xml:space="preserve">. ## Description here ##########.</w:t>
      </w:r>
      <w:r>
        <w:t xml:space="preserve"> </w:t>
      </w:r>
      <w:r>
        <w:rPr>
          <w:bCs/>
          <w:b/>
        </w:rPr>
        <w:t xml:space="preserve">b) Relative abundances of junctions in final transcriptome</w:t>
      </w:r>
      <w:r>
        <w:t xml:space="preserve">. ##Description here #######.</w:t>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90" Target="media/rId90.png" /><Relationship Type="http://schemas.openxmlformats.org/officeDocument/2006/relationships/image" Id="rId105" Target="media/rId105.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Elucidating the Transcriptome of Turkey Hemorrhagic Enteritis Virus</dc:title>
  <dc:creator/>
  <cp:keywords/>
  <dcterms:created xsi:type="dcterms:W3CDTF">2023-08-31T07:11:13Z</dcterms:created>
  <dcterms:modified xsi:type="dcterms:W3CDTF">2023-08-31T07:11:13Z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