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3.png" ContentType="image/png"/>
  <Override PartName="/word/media/rId87.png" ContentType="image/png"/>
  <Override PartName="/word/media/rId99.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Turkey</w:t>
      </w:r>
      <w:r>
        <w:t xml:space="preserve"> </w:t>
      </w:r>
      <w:r>
        <w:t xml:space="preserve">Hemorrhagic</w:t>
      </w:r>
      <w:r>
        <w:t xml:space="preserve"> </w:t>
      </w:r>
      <w:r>
        <w:t xml:space="preserve">Enteritis</w:t>
      </w:r>
      <w:r>
        <w:t xml:space="preserve"> </w:t>
      </w:r>
      <w:r>
        <w:t xml:space="preserve">Virus</w:t>
      </w:r>
      <w:r>
        <w:t xml:space="preserve"> </w:t>
      </w:r>
      <w:r>
        <w:t xml:space="preserve">transcriptome</w:t>
      </w:r>
      <w:r>
        <w:t xml:space="preserve"> </w:t>
      </w:r>
      <w:r>
        <w:t xml:space="preserve">profiling</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w:t>
      </w:r>
      <w:r>
        <w:t xml:space="preserve">). From the mapped reads, we identified an overall total of</w:t>
      </w:r>
      <w:r>
        <w:t xml:space="preserve"> </w:t>
      </w:r>
      <w:r>
        <w:rPr>
          <w:bCs/>
          <w:b/>
        </w:rPr>
        <w:t xml:space="preserve">2,815</w:t>
      </w:r>
      <w:r>
        <w:t xml:space="preserve"> </w:t>
      </w:r>
      <w:r>
        <w:t xml:space="preserve">THEV splice junctions from all time-points, with splice junctions from the later time-points being supported by significantly more sequence reads than earlier time-points. For example all the</w:t>
      </w:r>
      <w:r>
        <w:t xml:space="preserve"> </w:t>
      </w:r>
      <w:r>
        <w:rPr>
          <w:bCs/>
          <w:b/>
        </w:rPr>
        <w:t xml:space="preserve">12</w:t>
      </w:r>
      <w:r>
        <w:t xml:space="preserve"> </w:t>
      </w:r>
      <w:r>
        <w:t xml:space="preserve">unique junctions at 4 h.p.i had less than 10 reads supporting each one, averaging a mere</w:t>
      </w:r>
      <w:r>
        <w:t xml:space="preserve"> </w:t>
      </w:r>
      <w:r>
        <w:rPr>
          <w:bCs/>
          <w:b/>
        </w:rPr>
        <w:t xml:space="preserve">3</w:t>
      </w:r>
      <w:r>
        <w:t xml:space="preserve"> </w:t>
      </w:r>
      <w:r>
        <w:t xml:space="preserve">reads/junction. Conversely, the</w:t>
      </w:r>
      <w:r>
        <w:t xml:space="preserve"> </w:t>
      </w:r>
      <w:r>
        <w:rPr>
          <w:bCs/>
          <w:b/>
        </w:rPr>
        <w:t xml:space="preserve">2516</w:t>
      </w:r>
      <w:r>
        <w:t xml:space="preserve"> </w:t>
      </w:r>
      <w:r>
        <w:t xml:space="preserve">unique junctions at 72 h.p.i averaged</w:t>
      </w:r>
      <w:r>
        <w:t xml:space="preserve"> </w:t>
      </w:r>
      <w:r>
        <w:rPr>
          <w:bCs/>
          <w:b/>
        </w:rPr>
        <w:t xml:space="preserve">713.1</w:t>
      </w:r>
      <w:r>
        <w:t xml:space="preserve"> </w:t>
      </w:r>
      <w:r>
        <w:t xml:space="preserve">reads/junction, some junctions having as high as</w:t>
      </w:r>
      <w:r>
        <w:t xml:space="preserve"> </w:t>
      </w:r>
      <w:r>
        <w:rPr>
          <w:bCs/>
          <w:b/>
        </w:rPr>
        <w:t xml:space="preserve">322,677</w:t>
      </w:r>
      <w:r>
        <w:t xml:space="preserve"> </w:t>
      </w:r>
      <w:r>
        <w:t xml:space="preserve">reads in support. The substantial increases in splice junctions and mapping reads to the THEV genome over time denotes the progression of the infection and correlates with our qPCR assay quantifying the total number of viral genome copies over time (</w:t>
      </w:r>
      <w:r>
        <w:rPr>
          <w:bCs/>
          <w:b/>
        </w:rPr>
        <w:t xml:space="preserve">Figure 3</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generated from transcripts from all time points, we counted a total of</w:t>
      </w:r>
      <w:r>
        <w:t xml:space="preserve"> </w:t>
      </w:r>
      <w:r>
        <w:rPr>
          <w:bCs/>
          <w:b/>
        </w:rPr>
        <w:t xml:space="preserve">51</w:t>
      </w:r>
      <w:r>
        <w:t xml:space="preserve"> </w:t>
      </w:r>
      <w:r>
        <w:t xml:space="preserve">transcripts all of which are novel. Although some exons in some transcripts match the predicted ORFs of THEV exactly, most of the exons are longer, spanning multiple predicted ORFs (</w:t>
      </w:r>
      <w:r>
        <w:rPr>
          <w:bCs/>
          <w:b/>
        </w:rPr>
        <w:t xml:space="preserve">Figure 4</w:t>
      </w:r>
      <w:r>
        <w:t xml:space="preserve">). The complete list of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Early Region 1 (E1) transcripts</w:t>
      </w:r>
      <w:r>
        <w:t xml:space="preserve">. This region in MAdVs is the first transcribed after successful entry of the viral DNA into the nucleus of the host cell. The host transcription machinery is lobbied for the transcription of the region. No viral proteins are available at this stage; hence, host transcription factors play the key roles of mobilizing the transcription machinery. After their translation, the E1 proteins in concert with the host transcription factors activate the other viral promoters</w:t>
      </w:r>
      <w:r>
        <w:t xml:space="preserve"> </w:t>
      </w:r>
      <w:r>
        <w:t xml:space="preserve">(6)</w:t>
      </w:r>
      <w:r>
        <w:t xml:space="preserve">. We identified four novel transcripts in this region</w:t>
      </w:r>
      <w:r>
        <w:t xml:space="preserve"> </w:t>
      </w:r>
      <w:r>
        <w:rPr>
          <w:strike/>
        </w:rPr>
        <w:t xml:space="preserve">and also validated the predicted ORF (sialidase; ORF1)</w:t>
      </w:r>
      <w:r>
        <w:t xml:space="preserve">.</w:t>
      </w:r>
    </w:p>
    <w:p>
      <w:pPr>
        <w:pStyle w:val="BodyText"/>
      </w:pPr>
      <w:r>
        <w:t xml:space="preserve">Early Region 2A (E2A) transcripts.</w:t>
      </w:r>
    </w:p>
    <w:p>
      <w:pPr>
        <w:pStyle w:val="BodyText"/>
      </w:pPr>
      <w:r>
        <w:t xml:space="preserve">Early Region 2B (E2B) transcripts.</w:t>
      </w:r>
    </w:p>
    <w:p>
      <w:pPr>
        <w:pStyle w:val="BodyText"/>
      </w:pPr>
      <w:r>
        <w:t xml:space="preserve">Early Region 3 (E3) transcripts.</w:t>
      </w:r>
    </w:p>
    <w:p>
      <w:pPr>
        <w:pStyle w:val="BodyText"/>
      </w:pPr>
      <w:r>
        <w:t xml:space="preserve">Early Region 4 (E4) transcripts.</w:t>
      </w:r>
    </w:p>
    <w:p>
      <w:pPr>
        <w:pStyle w:val="BodyText"/>
      </w:pPr>
      <w:r>
        <w:t xml:space="preserve">Intermediate Region (IM) transcripts.</w:t>
      </w:r>
    </w:p>
    <w:p>
      <w:pPr>
        <w:pStyle w:val="BodyText"/>
      </w:pPr>
      <w:r>
        <w:t xml:space="preserve">Major Late Promoter Region (MLP) transcripts.</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(24)</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Mahsoub2017"/>
    <w:p>
      <w:pPr>
        <w:pStyle w:val="Bibliography"/>
      </w:pPr>
      <w:r>
        <w:t xml:space="preserve">24.</w:t>
      </w:r>
      <w:r>
        <w:t xml:space="preserve"> </w:t>
      </w:r>
      <w:r>
        <w:t xml:space="preserve">	</w:t>
      </w:r>
      <w:r>
        <w:t xml:space="preserve">Mahsoub HM, Evans NP, Beach NM, Yuan L, Zimmerman K, Pierson FW. 2017.</w:t>
      </w:r>
      <w:r>
        <w:t xml:space="preserve"> </w:t>
      </w:r>
      <w:hyperlink r:id="rId81">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102" w:name="tables-and-figures"/>
    <w:p>
      <w:pPr>
        <w:pStyle w:val="Heading2"/>
      </w:pPr>
      <w:r>
        <w:t xml:space="preserve">TABLES AND FIGURES</w:t>
      </w:r>
    </w:p>
    <w:p>
      <w:pPr>
        <w:pStyle w:val="FirstParagraph"/>
      </w:pPr>
      <w:r>
        <w:drawing>
          <wp:inline>
            <wp:extent cx="5334000" cy="3111499"/>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p>
    <w:tbl>
      <w:tblPr>
        <w:tblStyle w:val="Table"/>
        <w:tblW w:type="pct" w:w="5000"/>
        <w:tblLook w:firstRow="1" w:lastRow="0" w:firstColumn="0" w:lastColumn="0" w:noHBand="0" w:noVBand="0" w:val="0020"/>
        <w:jc w:val="start"/>
      </w:tblPr>
      <w:tblGrid>
        <w:gridCol w:w="2104"/>
        <w:gridCol w:w="1273"/>
        <w:gridCol w:w="1273"/>
        <w:gridCol w:w="1273"/>
        <w:gridCol w:w="1273"/>
        <w:gridCol w:w="720"/>
      </w:tblGrid>
      <w:tr>
        <w:trPr>
          <w:tblHeader w:val="true"/>
        </w:trPr>
        <w:tc>
          <w:tcPr/>
          <w:p>
            <w:pPr>
              <w:pStyle w:val="Compact"/>
              <w:jc w:val="left"/>
            </w:pPr>
            <w:r>
              <w:t xml:space="preserve">Metric</w:t>
            </w:r>
          </w:p>
        </w:tc>
        <w:tc>
          <w:tcPr/>
          <w:p>
            <w:pPr>
              <w:pStyle w:val="Compact"/>
              <w:jc w:val="left"/>
            </w:pPr>
            <w:r>
              <w:t xml:space="preserve">4h.p.i</w:t>
            </w:r>
          </w:p>
        </w:tc>
        <w:tc>
          <w:tcPr/>
          <w:p>
            <w:pPr>
              <w:pStyle w:val="Compact"/>
              <w:jc w:val="left"/>
            </w:pPr>
            <w:r>
              <w:t xml:space="preserve">12h.p.i</w:t>
            </w:r>
          </w:p>
        </w:tc>
        <w:tc>
          <w:tcPr/>
          <w:p>
            <w:pPr>
              <w:pStyle w:val="Compact"/>
              <w:jc w:val="left"/>
            </w:pPr>
            <w:r>
              <w:t xml:space="preserve">24h.p.i</w:t>
            </w:r>
          </w:p>
        </w:tc>
        <w:tc>
          <w:tcPr/>
          <w:p>
            <w:pPr>
              <w:pStyle w:val="Compact"/>
              <w:jc w:val="left"/>
            </w:pPr>
            <w:r>
              <w:t xml:space="preserve">72h.p.i</w:t>
            </w:r>
          </w:p>
        </w:tc>
        <w:tc>
          <w:tcPr/>
          <w:p>
            <w:pPr>
              <w:pStyle w:val="Compact"/>
              <w:jc w:val="right"/>
            </w:pPr>
            <w:r>
              <w:t xml:space="preserve">Total</w:t>
            </w:r>
          </w:p>
        </w:tc>
      </w:tr>
      <w:tr>
        <w:tc>
          <w:tcPr/>
          <w:p>
            <w:pPr>
              <w:pStyle w:val="Compact"/>
              <w:jc w:val="left"/>
            </w:pPr>
            <w:r>
              <w:t xml:space="preserve">Total reads</w:t>
            </w:r>
          </w:p>
        </w:tc>
        <w:tc>
          <w:tcPr/>
          <w:p>
            <w:pPr>
              <w:pStyle w:val="Compact"/>
              <w:jc w:val="left"/>
            </w:pPr>
            <w:r>
              <w:t xml:space="preserve">1.17e+08</w:t>
            </w:r>
          </w:p>
        </w:tc>
        <w:tc>
          <w:tcPr/>
          <w:p>
            <w:pPr>
              <w:pStyle w:val="Compact"/>
              <w:jc w:val="left"/>
            </w:pPr>
            <w:r>
              <w:t xml:space="preserve">7.63e+07</w:t>
            </w:r>
          </w:p>
        </w:tc>
        <w:tc>
          <w:tcPr/>
          <w:p>
            <w:pPr>
              <w:pStyle w:val="Compact"/>
              <w:jc w:val="left"/>
            </w:pPr>
            <w:r>
              <w:t xml:space="preserve">1.20e+08</w:t>
            </w:r>
          </w:p>
        </w:tc>
        <w:tc>
          <w:tcPr/>
          <w:p>
            <w:pPr>
              <w:pStyle w:val="Compact"/>
              <w:jc w:val="left"/>
            </w:pPr>
            <w:r>
              <w:t xml:space="preserve">1.15e+08</w:t>
            </w:r>
          </w:p>
        </w:tc>
        <w:tc>
          <w:tcPr/>
          <w:p>
            <w:pPr>
              <w:pStyle w:val="Compact"/>
              <w:jc w:val="right"/>
            </w:pPr>
            <w:r>
              <w:t xml:space="preserve">4.283000e+08</w:t>
            </w:r>
          </w:p>
        </w:tc>
      </w:tr>
      <w:tr>
        <w:tc>
          <w:tcPr/>
          <w:p>
            <w:pPr>
              <w:pStyle w:val="Compact"/>
              <w:jc w:val="left"/>
            </w:pPr>
            <w:r>
              <w:t xml:space="preserve">Mapped</w:t>
            </w:r>
            <w:r>
              <w:t xml:space="preserve">(Host)</w:t>
            </w:r>
          </w:p>
        </w:tc>
        <w:tc>
          <w:tcPr/>
          <w:p>
            <w:pPr>
              <w:pStyle w:val="Compact"/>
              <w:jc w:val="left"/>
            </w:pPr>
            <w:r>
              <w:t xml:space="preserve">1.04e+08</w:t>
            </w:r>
            <w:r>
              <w:t xml:space="preserve">(89.06%)</w:t>
            </w:r>
          </w:p>
        </w:tc>
        <w:tc>
          <w:tcPr/>
          <w:p>
            <w:pPr>
              <w:pStyle w:val="Compact"/>
              <w:jc w:val="left"/>
            </w:pPr>
            <w:r>
              <w:t xml:space="preserve">6.79e+07</w:t>
            </w:r>
            <w:r>
              <w:t xml:space="preserve">(89.0393%)</w:t>
            </w:r>
          </w:p>
        </w:tc>
        <w:tc>
          <w:tcPr/>
          <w:p>
            <w:pPr>
              <w:pStyle w:val="Compact"/>
              <w:jc w:val="left"/>
            </w:pPr>
            <w:r>
              <w:t xml:space="preserve">1.06e+08</w:t>
            </w:r>
            <w:r>
              <w:t xml:space="preserve">(88.2719%)</w:t>
            </w:r>
          </w:p>
        </w:tc>
        <w:tc>
          <w:tcPr/>
          <w:p>
            <w:pPr>
              <w:pStyle w:val="Compact"/>
              <w:jc w:val="left"/>
            </w:pPr>
            <w:r>
              <w:t xml:space="preserve">8.38e+07</w:t>
            </w:r>
            <w:r>
              <w:t xml:space="preserve">(72.9802%)</w:t>
            </w:r>
          </w:p>
        </w:tc>
        <w:tc>
          <w:tcPr/>
          <w:p>
            <w:pPr>
              <w:pStyle w:val="Compact"/>
              <w:jc w:val="right"/>
            </w:pPr>
            <w:r>
              <w:t xml:space="preserve">3.617000e+08</w:t>
            </w:r>
          </w:p>
        </w:tc>
      </w:tr>
      <w:tr>
        <w:tc>
          <w:tcPr/>
          <w:p>
            <w:pPr>
              <w:pStyle w:val="Compact"/>
              <w:jc w:val="left"/>
            </w:pPr>
            <w:r>
              <w:t xml:space="preserve">Mapped</w:t>
            </w:r>
            <w:r>
              <w:t xml:space="preserve">(THEV)</w:t>
            </w:r>
          </w:p>
        </w:tc>
        <w:tc>
          <w:tcPr/>
          <w:p>
            <w:pPr>
              <w:pStyle w:val="Compact"/>
              <w:jc w:val="left"/>
            </w:pPr>
            <w:r>
              <w:t xml:space="preserve">4.32e+02</w:t>
            </w:r>
            <w:r>
              <w:t xml:space="preserve">( 0.0004%)</w:t>
            </w:r>
          </w:p>
        </w:tc>
        <w:tc>
          <w:tcPr/>
          <w:p>
            <w:pPr>
              <w:pStyle w:val="Compact"/>
              <w:jc w:val="left"/>
            </w:pPr>
            <w:r>
              <w:t xml:space="preserve">6.70e+03</w:t>
            </w:r>
            <w:r>
              <w:t xml:space="preserve">( 0.0088%)</w:t>
            </w:r>
          </w:p>
        </w:tc>
        <w:tc>
          <w:tcPr/>
          <w:p>
            <w:pPr>
              <w:pStyle w:val="Compact"/>
              <w:jc w:val="left"/>
            </w:pPr>
            <w:r>
              <w:t xml:space="preserve">1.18e+06</w:t>
            </w:r>
            <w:r>
              <w:t xml:space="preserve">( 0.9841%)</w:t>
            </w:r>
          </w:p>
        </w:tc>
        <w:tc>
          <w:tcPr/>
          <w:p>
            <w:pPr>
              <w:pStyle w:val="Compact"/>
              <w:jc w:val="left"/>
            </w:pPr>
            <w:r>
              <w:t xml:space="preserve">1.69e+07</w:t>
            </w:r>
            <w:r>
              <w:t xml:space="preserve">(14.6904%)</w:t>
            </w:r>
          </w:p>
        </w:tc>
        <w:tc>
          <w:tcPr/>
          <w:p>
            <w:pPr>
              <w:pStyle w:val="Compact"/>
              <w:jc w:val="right"/>
            </w:pPr>
            <w:r>
              <w:t xml:space="preserve">1.808713e+07</w:t>
            </w:r>
          </w:p>
        </w:tc>
      </w:tr>
      <w:tr>
        <w:tc>
          <w:tcPr/>
          <w:p>
            <w:pPr>
              <w:pStyle w:val="Compact"/>
              <w:jc w:val="left"/>
            </w:pPr>
            <w:r>
              <w:t xml:space="preserve">Mean Per Base</w:t>
            </w:r>
            <w:r>
              <w:t xml:space="preserve">Coverage/Depth</w:t>
            </w:r>
          </w:p>
        </w:tc>
        <w:tc>
          <w:tcPr/>
          <w:p>
            <w:pPr>
              <w:pStyle w:val="Compact"/>
              <w:jc w:val="left"/>
            </w:pPr>
            <w:r>
              <w:t xml:space="preserve">2.42</w:t>
            </w:r>
          </w:p>
        </w:tc>
        <w:tc>
          <w:tcPr/>
          <w:p>
            <w:pPr>
              <w:pStyle w:val="Compact"/>
              <w:jc w:val="left"/>
            </w:pPr>
            <w:r>
              <w:t xml:space="preserve">37.71</w:t>
            </w:r>
          </w:p>
        </w:tc>
        <w:tc>
          <w:tcPr/>
          <w:p>
            <w:pPr>
              <w:pStyle w:val="Compact"/>
              <w:jc w:val="left"/>
            </w:pPr>
            <w:r>
              <w:t xml:space="preserve">6,666.96</w:t>
            </w:r>
          </w:p>
        </w:tc>
        <w:tc>
          <w:tcPr/>
          <w:p>
            <w:pPr>
              <w:pStyle w:val="Compact"/>
              <w:jc w:val="left"/>
            </w:pPr>
            <w:r>
              <w:t xml:space="preserve">95,041.7</w:t>
            </w:r>
          </w:p>
        </w:tc>
        <w:tc>
          <w:tcPr/>
          <w:p>
            <w:pPr>
              <w:pStyle w:val="Compact"/>
              <w:jc w:val="right"/>
            </w:pPr>
            <w:r>
              <w:t xml:space="preserve">1.017488e+05</w:t>
            </w:r>
          </w:p>
        </w:tc>
      </w:tr>
      <w:tr>
        <w:tc>
          <w:tcPr/>
          <w:p>
            <w:pPr>
              <w:pStyle w:val="Compact"/>
              <w:jc w:val="left"/>
            </w:pPr>
            <w:r>
              <w:t xml:space="preserve">Total unique</w:t>
            </w:r>
            <w:r>
              <w:t xml:space="preserve"> </w:t>
            </w:r>
            <w:r>
              <w:t xml:space="preserve">splice junctions</w:t>
            </w:r>
          </w:p>
        </w:tc>
        <w:tc>
          <w:tcPr/>
          <w:p>
            <w:pPr>
              <w:pStyle w:val="Compact"/>
              <w:jc w:val="left"/>
            </w:pPr>
            <w:r>
              <w:t xml:space="preserve">12</w:t>
            </w:r>
          </w:p>
        </w:tc>
        <w:tc>
          <w:tcPr/>
          <w:p>
            <w:pPr>
              <w:pStyle w:val="Compact"/>
              <w:jc w:val="left"/>
            </w:pPr>
            <w:r>
              <w:t xml:space="preserve">41</w:t>
            </w:r>
          </w:p>
        </w:tc>
        <w:tc>
          <w:tcPr/>
          <w:p>
            <w:pPr>
              <w:pStyle w:val="Compact"/>
              <w:jc w:val="left"/>
            </w:pPr>
            <w:r>
              <w:t xml:space="preserve">246</w:t>
            </w:r>
          </w:p>
        </w:tc>
        <w:tc>
          <w:tcPr/>
          <w:p>
            <w:pPr>
              <w:pStyle w:val="Compact"/>
              <w:jc w:val="left"/>
            </w:pPr>
            <w:r>
              <w:t xml:space="preserve">2516</w:t>
            </w:r>
          </w:p>
        </w:tc>
        <w:tc>
          <w:tcPr/>
          <w:p>
            <w:pPr>
              <w:pStyle w:val="Compact"/>
              <w:jc w:val="right"/>
            </w:pPr>
            <w:r>
              <w:t xml:space="preserve">2.815000e+03</w:t>
            </w:r>
          </w:p>
        </w:tc>
      </w:tr>
      <w:tr>
        <w:tc>
          <w:tcPr/>
          <w:p>
            <w:pPr>
              <w:pStyle w:val="Compact"/>
              <w:jc w:val="left"/>
            </w:pPr>
            <w:r>
              <w:t xml:space="preserve">Junction coverage</w:t>
            </w:r>
            <w:r>
              <w:t xml:space="preserve">Total (≥ 1 read)</w:t>
            </w:r>
          </w:p>
        </w:tc>
        <w:tc>
          <w:tcPr/>
          <w:p>
            <w:pPr>
              <w:pStyle w:val="Compact"/>
              <w:jc w:val="left"/>
            </w:pPr>
            <w:r>
              <w:t xml:space="preserve">36</w:t>
            </w:r>
          </w:p>
        </w:tc>
        <w:tc>
          <w:tcPr/>
          <w:p>
            <w:pPr>
              <w:pStyle w:val="Compact"/>
              <w:jc w:val="left"/>
            </w:pPr>
            <w:r>
              <w:t xml:space="preserve">603</w:t>
            </w:r>
          </w:p>
        </w:tc>
        <w:tc>
          <w:tcPr/>
          <w:p>
            <w:pPr>
              <w:pStyle w:val="Compact"/>
              <w:jc w:val="left"/>
            </w:pPr>
            <w:r>
              <w:t xml:space="preserve">115066</w:t>
            </w:r>
          </w:p>
        </w:tc>
        <w:tc>
          <w:tcPr/>
          <w:p>
            <w:pPr>
              <w:pStyle w:val="Compact"/>
              <w:jc w:val="left"/>
            </w:pPr>
            <w:r>
              <w:t xml:space="preserve">1794275</w:t>
            </w:r>
          </w:p>
        </w:tc>
        <w:tc>
          <w:tcPr/>
          <w:p>
            <w:pPr>
              <w:pStyle w:val="Compact"/>
              <w:jc w:val="right"/>
            </w:pPr>
            <w:r>
              <w:t xml:space="preserve">1.909980e+06</w:t>
            </w:r>
          </w:p>
        </w:tc>
      </w:tr>
      <w:tr>
        <w:tc>
          <w:tcPr/>
          <w:p>
            <w:pPr>
              <w:pStyle w:val="Compact"/>
              <w:jc w:val="left"/>
            </w:pPr>
            <w:r>
              <w:t xml:space="preserve">Junction coverage</w:t>
            </w:r>
            <w:r>
              <w:t xml:space="preserve"> </w:t>
            </w:r>
            <w:r>
              <w:t xml:space="preserve">Mean reads</w:t>
            </w:r>
          </w:p>
        </w:tc>
        <w:tc>
          <w:tcPr/>
          <w:p>
            <w:pPr>
              <w:pStyle w:val="Compact"/>
              <w:jc w:val="left"/>
            </w:pPr>
            <w:r>
              <w:t xml:space="preserve">3</w:t>
            </w:r>
          </w:p>
        </w:tc>
        <w:tc>
          <w:tcPr/>
          <w:p>
            <w:pPr>
              <w:pStyle w:val="Compact"/>
              <w:jc w:val="left"/>
            </w:pPr>
            <w:r>
              <w:t xml:space="preserve">14.7073170731707</w:t>
            </w:r>
          </w:p>
        </w:tc>
        <w:tc>
          <w:tcPr/>
          <w:p>
            <w:pPr>
              <w:pStyle w:val="Compact"/>
              <w:jc w:val="left"/>
            </w:pPr>
            <w:r>
              <w:t xml:space="preserve">467.747967479675</w:t>
            </w:r>
          </w:p>
        </w:tc>
        <w:tc>
          <w:tcPr/>
          <w:p>
            <w:pPr>
              <w:pStyle w:val="Compact"/>
              <w:jc w:val="left"/>
            </w:pPr>
            <w:r>
              <w:t xml:space="preserve">713.14586645469</w:t>
            </w:r>
          </w:p>
        </w:tc>
        <w:tc>
          <w:tcPr/>
          <w:p>
            <w:pPr>
              <w:pStyle w:val="Compact"/>
              <w:jc w:val="right"/>
            </w:pPr>
            <w:r>
              <w:t xml:space="preserve">1.198601e+03</w:t>
            </w:r>
          </w:p>
        </w:tc>
      </w:tr>
      <w:tr>
        <w:tc>
          <w:tcPr/>
          <w:p>
            <w:pPr>
              <w:pStyle w:val="Compact"/>
              <w:jc w:val="left"/>
            </w:pPr>
            <w:r>
              <w:t xml:space="preserve">Junction coverage</w:t>
            </w:r>
            <w:r>
              <w:t xml:space="preserve">≥ 10 reads</w:t>
            </w:r>
          </w:p>
        </w:tc>
        <w:tc>
          <w:tcPr/>
          <w:p>
            <w:pPr>
              <w:pStyle w:val="Compact"/>
              <w:jc w:val="left"/>
            </w:pPr>
            <w:r>
              <w:t xml:space="preserve">0</w:t>
            </w:r>
          </w:p>
        </w:tc>
        <w:tc>
          <w:tcPr/>
          <w:p>
            <w:pPr>
              <w:pStyle w:val="Compact"/>
              <w:jc w:val="left"/>
            </w:pPr>
            <w:r>
              <w:t xml:space="preserve">13</w:t>
            </w:r>
          </w:p>
        </w:tc>
        <w:tc>
          <w:tcPr/>
          <w:p>
            <w:pPr>
              <w:pStyle w:val="Compact"/>
              <w:jc w:val="left"/>
            </w:pPr>
            <w:r>
              <w:t xml:space="preserve">132</w:t>
            </w:r>
          </w:p>
        </w:tc>
        <w:tc>
          <w:tcPr/>
          <w:p>
            <w:pPr>
              <w:pStyle w:val="Compact"/>
              <w:jc w:val="left"/>
            </w:pPr>
            <w:r>
              <w:t xml:space="preserve">1750</w:t>
            </w:r>
          </w:p>
        </w:tc>
        <w:tc>
          <w:tcPr/>
          <w:p>
            <w:pPr>
              <w:pStyle w:val="Compact"/>
              <w:jc w:val="right"/>
            </w:pPr>
            <w:r>
              <w:t xml:space="preserve">1.895000e+03</w:t>
            </w:r>
          </w:p>
        </w:tc>
      </w:tr>
      <w:tr>
        <w:tc>
          <w:tcPr/>
          <w:p>
            <w:pPr>
              <w:pStyle w:val="Compact"/>
              <w:jc w:val="left"/>
            </w:pPr>
            <w:r>
              <w:t xml:space="preserve">Junction coverage</w:t>
            </w:r>
            <w:r>
              <w:t xml:space="preserve">≥ 100 reads</w:t>
            </w:r>
          </w:p>
        </w:tc>
        <w:tc>
          <w:tcPr/>
          <w:p>
            <w:pPr>
              <w:pStyle w:val="Compact"/>
              <w:jc w:val="left"/>
            </w:pPr>
            <w:r>
              <w:t xml:space="preserve">0</w:t>
            </w:r>
          </w:p>
        </w:tc>
        <w:tc>
          <w:tcPr/>
          <w:p>
            <w:pPr>
              <w:pStyle w:val="Compact"/>
              <w:jc w:val="left"/>
            </w:pPr>
            <w:r>
              <w:t xml:space="preserve">1</w:t>
            </w:r>
          </w:p>
        </w:tc>
        <w:tc>
          <w:tcPr/>
          <w:p>
            <w:pPr>
              <w:pStyle w:val="Compact"/>
              <w:jc w:val="left"/>
            </w:pPr>
            <w:r>
              <w:t xml:space="preserve">53</w:t>
            </w:r>
          </w:p>
        </w:tc>
        <w:tc>
          <w:tcPr/>
          <w:p>
            <w:pPr>
              <w:pStyle w:val="Compact"/>
              <w:jc w:val="left"/>
            </w:pPr>
            <w:r>
              <w:t xml:space="preserve">773</w:t>
            </w:r>
          </w:p>
        </w:tc>
        <w:tc>
          <w:tcPr/>
          <w:p>
            <w:pPr>
              <w:pStyle w:val="Compact"/>
              <w:jc w:val="right"/>
            </w:pPr>
            <w:r>
              <w:t xml:space="preserve">8.270000e+02</w:t>
            </w:r>
          </w:p>
        </w:tc>
      </w:tr>
      <w:tr>
        <w:tc>
          <w:tcPr/>
          <w:p>
            <w:pPr>
              <w:pStyle w:val="Compact"/>
              <w:jc w:val="left"/>
            </w:pPr>
            <w:r>
              <w:t xml:space="preserve">Junction coverage</w:t>
            </w:r>
            <w:r>
              <w:t xml:space="preserve">≥ 1000 reads</w:t>
            </w:r>
          </w:p>
        </w:tc>
        <w:tc>
          <w:tcPr/>
          <w:p>
            <w:pPr>
              <w:pStyle w:val="Compact"/>
              <w:jc w:val="left"/>
            </w:pPr>
            <w:r>
              <w:t xml:space="preserve">0</w:t>
            </w:r>
          </w:p>
        </w:tc>
        <w:tc>
          <w:tcPr/>
          <w:p>
            <w:pPr>
              <w:pStyle w:val="Compact"/>
              <w:jc w:val="left"/>
            </w:pPr>
            <w:r>
              <w:t xml:space="preserve">0</w:t>
            </w:r>
          </w:p>
        </w:tc>
        <w:tc>
          <w:tcPr/>
          <w:p>
            <w:pPr>
              <w:pStyle w:val="Compact"/>
              <w:jc w:val="left"/>
            </w:pPr>
            <w:r>
              <w:t xml:space="preserve">18</w:t>
            </w:r>
          </w:p>
        </w:tc>
        <w:tc>
          <w:tcPr/>
          <w:p>
            <w:pPr>
              <w:pStyle w:val="Compact"/>
              <w:jc w:val="left"/>
            </w:pPr>
            <w:r>
              <w:t xml:space="preserve">147</w:t>
            </w:r>
          </w:p>
        </w:tc>
        <w:tc>
          <w:tcPr/>
          <w:p>
            <w:pPr>
              <w:pStyle w:val="Compact"/>
              <w:jc w:val="right"/>
            </w:pPr>
            <w:r>
              <w:t xml:space="preserve">1.650000e+02</w:t>
            </w:r>
          </w:p>
        </w:tc>
      </w:tr>
    </w:tbl>
    <w:p>
      <w:pPr>
        <w:pStyle w:val="BodyText"/>
      </w:pPr>
      <w:r>
        <w:drawing>
          <wp:inline>
            <wp:extent cx="5334000" cy="6222999"/>
            <wp:effectExtent b="0" l="0" r="0" t="0"/>
            <wp:docPr descr="" title="" id="91" name="Picture"/>
            <a:graphic>
              <a:graphicData uri="http://schemas.openxmlformats.org/drawingml/2006/picture">
                <pic:pic>
                  <pic:nvPicPr>
                    <pic:cNvPr descr="results/r/figures/patch_alltimes.png" id="92" name="Picture"/>
                    <pic:cNvPicPr>
                      <a:picLocks noChangeArrowheads="1" noChangeAspect="1"/>
                    </pic:cNvPicPr>
                  </pic:nvPicPr>
                  <pic:blipFill>
                    <a:blip r:embed="rId90"/>
                    <a:stretch>
                      <a:fillRect/>
                    </a:stretch>
                  </pic:blipFill>
                  <pic:spPr bwMode="auto">
                    <a:xfrm>
                      <a:off x="0" y="0"/>
                      <a:ext cx="5334000" cy="6222999"/>
                    </a:xfrm>
                    <a:prstGeom prst="rect">
                      <a:avLst/>
                    </a:prstGeom>
                    <a:noFill/>
                    <a:ln w="9525">
                      <a:noFill/>
                      <a:headEnd/>
                      <a:tailEnd/>
                    </a:ln>
                  </pic:spPr>
                </pic:pic>
              </a:graphicData>
            </a:graphic>
          </wp:inline>
        </w:drawing>
      </w:r>
    </w:p>
    <w:p>
      <w:pPr>
        <w:pStyle w:val="BodyText"/>
      </w:pPr>
      <w:r>
        <w:rPr>
          <w:bCs/>
          <w:b/>
        </w:rPr>
        <w:t xml:space="preserve">Figure 2.</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p>
    <w:p>
      <w:pPr>
        <w:pStyle w:val="BodyText"/>
      </w:pP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3.</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pPr>
        <w:pStyle w:val="BodyText"/>
      </w:pPr>
      <w:r>
        <w:drawing>
          <wp:inline>
            <wp:extent cx="5334000" cy="3556000"/>
            <wp:effectExtent b="0" l="0" r="0" t="0"/>
            <wp:docPr descr="" title="" id="97" name="Picture"/>
            <a:graphic>
              <a:graphicData uri="http://schemas.openxmlformats.org/drawingml/2006/picture">
                <pic:pic>
                  <pic:nvPicPr>
                    <pic:cNvPr descr="results/r/figures/thev_spliced_map.pn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p>
    <w:p>
      <w:pPr>
        <w:pStyle w:val="BodyText"/>
      </w:pPr>
      <w:r>
        <w:drawing>
          <wp:inline>
            <wp:extent cx="5334000" cy="4667250"/>
            <wp:effectExtent b="0" l="0" r="0" t="0"/>
            <wp:docPr descr="" title="" id="100" name="Picture"/>
            <a:graphic>
              <a:graphicData uri="http://schemas.openxmlformats.org/drawingml/2006/picture">
                <pic:pic>
                  <pic:nvPicPr>
                    <pic:cNvPr descr="results/r/figures/thev_patched_timepoints_spliced_map.png" id="101" name="Picture"/>
                    <pic:cNvPicPr>
                      <a:picLocks noChangeArrowheads="1" noChangeAspect="1"/>
                    </pic:cNvPicPr>
                  </pic:nvPicPr>
                  <pic:blipFill>
                    <a:blip r:embed="rId99"/>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4b.</w:t>
      </w:r>
      <w:r>
        <w:rPr>
          <w:bCs/>
          <w:b/>
        </w:rPr>
        <w:t xml:space="preserve"> </w:t>
      </w:r>
      <w:r>
        <w:rPr>
          <w:bCs/>
          <w:b/>
          <w:bCs/>
          <w:b/>
        </w:rPr>
        <w:t xml:space="preserve">THEV transcripts identified at given time points</w:t>
      </w:r>
      <w:r>
        <w:t xml:space="preserve">. Transcripts are color coded as explained in Fig.4a.</w:t>
      </w:r>
    </w:p>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Turkey Hemorrhagic Enteritis Virus transcriptome profiling</dc:title>
  <dc:creator/>
  <cp:keywords/>
  <dcterms:created xsi:type="dcterms:W3CDTF">2023-08-13T22:43:57Z</dcterms:created>
  <dcterms:modified xsi:type="dcterms:W3CDTF">2023-08-13T22:43:57Z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