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112.png" ContentType="image/png"/>
  <Override PartName="/word/media/rId115.png" ContentType="image/png"/>
  <Override PartName="/word/media/rId118.png" ContentType="image/png"/>
  <Override PartName="/word/media/rId97.png" ContentType="image/png"/>
  <Override PartName="/word/media/rId106.png" ContentType="image/png"/>
  <Override PartName="/word/media/rId94.png" ContentType="image/png"/>
  <Override PartName="/word/media/rId103.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quantitative PCR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consolidated transcriptome, a composite of all unredundant transcripts from all time points, we counted a total of</w:t>
      </w:r>
      <w:r>
        <w:t xml:space="preserve"> </w:t>
      </w:r>
      <w:r>
        <w:rPr>
          <w:bCs/>
          <w:b/>
        </w:rPr>
        <w:t xml:space="preserve">28</w:t>
      </w:r>
      <w:r>
        <w:t xml:space="preserve"> </w:t>
      </w:r>
      <w:r>
        <w:t xml:space="preserve">transcripts all of which are novel,</w:t>
      </w:r>
      <w:r>
        <w:t xml:space="preserve"> </w:t>
      </w:r>
      <w:r>
        <w:rPr>
          <w:strike/>
        </w:rPr>
        <w:t xml:space="preserve">and using 3’ Rapid Amplification of cDNA Ends (3’RACE) and other methods, we further identified #### unique splice variants</w:t>
      </w:r>
      <w:r>
        <w:t xml:space="preserve">.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or region. Each promoter typically produce one or few pre-mRNAs that undergo alternative splicing to yield the manifold repertoire of complex transcripts characteristic of AdVs</w:t>
      </w:r>
      <w:r>
        <w:t xml:space="preserve"> </w:t>
      </w:r>
      <w:r>
        <w:t xml:space="preserve">(17, 18)</w:t>
      </w:r>
      <w:r>
        <w:t xml:space="preserve">. To evaluate the activity of each promoter over time, Firstly,</w:t>
      </w:r>
      <w:r>
        <w:t xml:space="preserve"> </w:t>
      </w:r>
      <w:r>
        <w:rPr>
          <w:rStyle w:val="VerbatimChar"/>
        </w:rPr>
        <w:t xml:space="preserve">Ballgown</w:t>
      </w:r>
      <w:r>
        <w:t xml:space="preserve">, a program for statistical analysis of assembled transcriptomes</w:t>
      </w:r>
      <w:r>
        <w:t xml:space="preserve"> </w:t>
      </w:r>
      <w:r>
        <w:t xml:space="preserve">(24)</w:t>
      </w:r>
      <w:r>
        <w:t xml:space="preserve"> </w:t>
      </w:r>
      <w:r>
        <w:t xml:space="preserve">was used to estimate and normalize expression levels of all transcripts for each time point in Fragments Per Kilobase of transcript per Million mapped reads (FPKM) units. Very few unique splice junctions, reads, and transcripts were counted at 4 h.p.i; hence, this time point was excluded in this analysis.</w:t>
      </w:r>
    </w:p>
    <w:p>
      <w:pPr>
        <w:pStyle w:val="BodyText"/>
      </w:pPr>
      <w:r>
        <w:t xml:space="preserve">Individually, TRXPT_21 (DBP) - from the E2 region - was the most significantly expressed at 12 h.p.i, comprising about</w:t>
      </w:r>
      <w:r>
        <w:t xml:space="preserve"> </w:t>
      </w:r>
      <w:r>
        <w:rPr>
          <w:bCs/>
          <w:b/>
        </w:rPr>
        <w:t xml:space="preserve">33.58</w:t>
      </w:r>
      <w:r>
        <w:t xml:space="preserve">% of the total transcripts. Transcripts in the E3 and E4 regions also contributed significant proportions, and noticeably, some MLP region transcripts. The later time points were dominated by the MLP region; transcripts TRXPT_10 and TRXPT_14 were most abundantly expressed at 24 and 72 h.p.i, respectively, as expected (</w:t>
      </w:r>
      <w:r>
        <w:rPr>
          <w:bCs/>
          <w:b/>
        </w:rPr>
        <w:t xml:space="preserve">Figure 4a</w:t>
      </w:r>
      <w:r>
        <w:t xml:space="preserve">). When we performed analysis of the FPKM values of transcripts per region we found a similar pattern: the E2 region was the most abundantly expressed at 12 h.p.i, after which the MLP region assumes predominance (</w:t>
      </w:r>
      <w:r>
        <w:rPr>
          <w:bCs/>
          <w:b/>
        </w:rPr>
        <w:t xml:space="preserve">Figure 4b</w:t>
      </w:r>
      <w:r>
        <w:t xml:space="preserve">). Secondly, we estimated relative abundances of all splice junctions for each time point using the raw reads. We counted as significantly expressed only junctions with coverage of at least 1% of the total splice junction reads counted at the given time point. At 12 h.p.i,</w:t>
      </w:r>
      <w:r>
        <w:t xml:space="preserve"> </w:t>
      </w:r>
      <w:r>
        <w:rPr>
          <w:bCs/>
          <w:b/>
        </w:rPr>
        <w:t xml:space="preserve">18</w:t>
      </w:r>
      <w:r>
        <w:t xml:space="preserve"> </w:t>
      </w:r>
      <w:r>
        <w:t xml:space="preserve">junctions meet the 1% threshold, and were comprised of predominantly early region (E1, E2, E3, and E4) junctions, albeit the MLP was the single most preponderant region overall, constituting</w:t>
      </w:r>
      <w:r>
        <w:t xml:space="preserve"> </w:t>
      </w:r>
      <w:r>
        <w:rPr>
          <w:bCs/>
          <w:b/>
        </w:rPr>
        <w:t xml:space="preserve">38.8</w:t>
      </w:r>
      <w:r>
        <w:t xml:space="preserve">% of all the junctions reads. (</w:t>
      </w:r>
      <w:r>
        <w:rPr>
          <w:bCs/>
          <w:b/>
        </w:rPr>
        <w:t xml:space="preserve">Table 2a</w:t>
      </w:r>
      <w:r>
        <w:t xml:space="preserve">). The levels of the top most abundant junctions at 12 h.p.i were maintained also 24 h.p.i as the most significantly expressed. However, here, the MLP-derived junctions were unsurprisingly even more preponderant overall,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were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generally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We found that most splice donor-acceptor sequences were unsurprisingly the canonical GU-AG nucleotides.</w:t>
      </w:r>
    </w:p>
    <w:p>
      <w:pPr>
        <w:pStyle w:val="BodyText"/>
      </w:pPr>
      <w:r>
        <w:rPr>
          <w:bCs/>
          <w:b/>
        </w:rPr>
        <w:t xml:space="preserve">Early Region 1 (E1) transcripts</w:t>
      </w:r>
      <w:r>
        <w:t xml:space="preserve">. 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encoded proteins of the novel transcripts are distinct from the predicted ORFs, although they all have the potential to encode the Hyd protein as the 3’-most coding sequence (CDS) if the first start codon (SSC) is skipped. The 5’-most CDS of TRXPT_1 is multi-exonic, producing a 17.9 kilodalton (kDa) protein of 160 residues [amino acids (aa)]. The CDS begins in the first exon, starting at position 211, spans the second exon, and terminates in the third exon at position 2312. From the 5’-most SSC, TRXPT_2 encodes the largest protein in this region —— a 64.3 kDa, 580 aa protein with the same SSC as TRXPT_1 (position 211). This CDS spans almost the entire predicted ORF1 and Hyd, coming short in two regards: it is spliced from 1655 to 1964 (ORF1’s C-terminus, including the stop codon), and it’s stop codon (STC; position 2312) is 13 bp short of the Hyd STC. However, it has an SSC 102 bp upstream and in-frame with ORF1’s predicted SSC. The N-terminus of TRXPT_2 CDS therefore, shares substantial protein sequence similarity with ORF1 but Hyd and TRXPT_2 are not in-frame; hence no protein sequence similarity. TRXPT_3 is almost identical to TRXPT_1, except for the lack of TRXPT_1’s second exon. From our analysis, TRXPT_3 and TRXPT_4 seem to have transcription start sites (TSS) downstream of the TSS of TRXPT_1 and TRXPT_2; however, given that studies in MAdVs show that E1 mRNAs share a common 5’ and 3’ positions, only differing from each other regarding the introns</w:t>
      </w:r>
      <w:r>
        <w:t xml:space="preserve"> </w:t>
      </w:r>
      <w:r>
        <w:t xml:space="preserve">(18)</w:t>
      </w:r>
      <w:r>
        <w:t xml:space="preserve">, it is likely that TRXPT_3 and TRXPT_4 are incomplete, and the TSS just like the transcription termination site (TTS) are identical for all E1 transcripts. Regardless of the TSS considered for TRXPT_3, the coding potential remains unaffected. Its 5’-most CDS, beginning at 1965 and sharing the same STC as TRXPT_1 and TRXPT_2, produces a 13.1 kDa, 115 residue protein. This CDS (ORF4) was predicted in an earlier study</w:t>
      </w:r>
      <w:r>
        <w:t xml:space="preserve"> </w:t>
      </w:r>
      <w:r>
        <w:t xml:space="preserve">(25)</w:t>
      </w:r>
      <w:r>
        <w:t xml:space="preserve"> </w:t>
      </w:r>
      <w:r>
        <w:t xml:space="preserve">but was excluded in later studies</w:t>
      </w:r>
      <w:r>
        <w:t xml:space="preserve"> </w:t>
      </w:r>
      <w:r>
        <w:t xml:space="preserve">(1, 12)</w:t>
      </w:r>
      <w:r>
        <w:t xml:space="preserve">; however, our data suggests it is a bona fide ORF. The coding potential of TRXPT_4 is affected by the TSS considered; if we consider its unmodified TSS, then its coding potential is the same as TRXPT_3 (ORF4 as the first CDS and Hyd as second CDS if the first SSC is skipped). However, if we assume that TRXPT_4 shares the same TSS as TRXPT_1, then the 5’-most CDS is a distinct multi-exonic 15.9 kDa, 143 aa protein with the same SSC as TRXPT_1 and TRXPT_2 but with a unique STC. All splice junctions of the transcripts in this region (except the junction for TRXPT_4) have been validated by cloning and Sanger sequencing of cDNA (</w:t>
      </w:r>
      <w:r>
        <w:rPr>
          <w:bCs/>
          <w:b/>
        </w:rPr>
        <w:t xml:space="preserve">Figure 5b</w:t>
      </w:r>
      <w:r>
        <w:t xml:space="preserve">;</w:t>
      </w:r>
      <w:r>
        <w:t xml:space="preserve"> </w:t>
      </w:r>
      <w:r>
        <w:rPr>
          <w:bCs/>
          <w:b/>
        </w:rPr>
        <w:t xml:space="preserve">supplementary PCR methods</w:t>
      </w:r>
      <w:r>
        <w:t xml:space="preserve">). Finally, during our validation of TRXPT_2, ORF1 was present on the agarose gel and Sanger sequencing results as a bona fide transcript (</w:t>
      </w:r>
      <w:r>
        <w:rPr>
          <w:bCs/>
          <w:b/>
        </w:rPr>
        <w:t xml:space="preserve">supplementary PCR methods</w:t>
      </w:r>
      <w:r>
        <w:t xml:space="preserve">). This is corroborated by 3’-RACE experiment, which shows transcripts spanning the entire ORF1 and Hyd ORFs without any splicing with a poly-A tail at the TTS of transcripts in this region. The 5’-most CDS of this transcript would encode ORF1. Given that the SSC of the predicted ORF1 is in-frame but downstream of TRXPT_2 SSC, it suggests that the predicted ORF1 CDS is incomplete; it shares the same SSC and TSS, and TTS as TRXPT_2, but has a unique STC.</w:t>
      </w:r>
    </w:p>
    <w:p>
      <w:pPr>
        <w:pStyle w:val="BodyText"/>
      </w:pPr>
      <w:r>
        <w:rPr>
          <w:bCs/>
          <w:b/>
        </w:rPr>
        <w:t xml:space="preserve">Early Region 2 (E2) and Intermediate Region (IM) transcripts</w:t>
      </w:r>
      <w:r>
        <w:t xml:space="preserve">. The E2 TU expressed on the reverse strand, is subdivided into E2A and E2B and encodes three classical AdV proteins: pTP and Ad-pol (E2B proteins), and DBP (E2A protein)</w:t>
      </w:r>
      <w:r>
        <w:t xml:space="preserve"> </w:t>
      </w:r>
      <w:r>
        <w:t xml:space="preserve">(17, 18)</w:t>
      </w:r>
      <w:r>
        <w:t xml:space="preserve">. Unlike MAdV where two promoters (E2-early and E2-late) were discovered</w:t>
      </w:r>
      <w:r>
        <w:t xml:space="preserve"> </w:t>
      </w:r>
      <w:r>
        <w:t xml:space="preserve">(17)</w:t>
      </w:r>
      <w:r>
        <w:t xml:space="preserve">, we discovered only a single promoter from which both E2A and E2B transcription is initiated. However, similar to MAdVs, E2A and E2B transcripts have distinct TTSs, and the E2B transcripts share the TTS of the IVa2 transcript of the IM region</w:t>
      </w:r>
      <w:r>
        <w:t xml:space="preserve"> </w:t>
      </w:r>
      <w:r>
        <w:t xml:space="preserve">(17, 18)</w:t>
      </w:r>
      <w:r>
        <w:t xml:space="preserve"> </w:t>
      </w:r>
      <w:r>
        <w:t xml:space="preserve">(</w:t>
      </w:r>
      <w:r>
        <w:rPr>
          <w:bCs/>
          <w:b/>
        </w:rPr>
        <w:t xml:space="preserve">Figure 6</w:t>
      </w:r>
      <w:r>
        <w:t xml:space="preserve">).</w:t>
      </w:r>
      <w:r>
        <w:t xml:space="preserve"> </w:t>
      </w:r>
      <w:r>
        <w:t xml:space="preserve">The E2A ORF, DBP is one of three ORFs predicted to be spliced from two exons, with the CDS spanning both exons. The corresponding transcript (TRXPT_21) found in our data matches this predicted splicing pattern exactly but with an additional non-coding exon at the 5’-end (E2-5’UTR); hence, a three-exon transcript. The encoded protein (DBP; 380 residues, 43.3 kDa) is identical. This transcript was also corroborated in a 3’-RACE experiment. Additionally, from the 3’-RACE, a splice variant of TRXPT_21 which retains the second intron leading to a 2-exon transcript was found. This transcript (TRXPT_21B), albeit longer due to retaining the second intron and possessing a short 3’ UTR, encodes a truncated isoform of DBP because the first SSC utilized by TRXPT_21, is followed shortly by STCs in the retained intron, and does not yield any viable product. The SSC 173 bp downstream of TRXPT_21’s SSC yields a 346 residue, 39.3 kDa product, which is in-frame of DBP but wholly contained in the second exon starting at 18,013 bp and terminating just like DBP at 16,973 bp. TRXPT_21 and TRXPT_21B share a common TSS but TRXPT_21B as seen in our 3’-RACE data, extends 39 bp into an adenine-thymine-rich sequence where the polyadenylation occurs. Hence, we suggest that the two transcripts also share the same TTS at 16,934 bp (</w:t>
      </w:r>
      <w:r>
        <w:rPr>
          <w:bCs/>
          <w:b/>
        </w:rPr>
        <w:t xml:space="preserve">Figure 6</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located on the reverse strand spliced at 3447-3615. The first exon is an untranslated region (UTR), except the last 2 nucleotides, which connect with the first nucleotide of second exon to form the 5’-most SSC. This first SSC is 4 codons upstream and in-frame of the predicted IVa2 SSC. Regardless of the SSC considered, the encoded protein (IVa2) is largely unaffected. Except for the four extra residues at the N-terminus (considering the 5’-most SSC), the entire protein sequence is identical.</w:t>
      </w:r>
    </w:p>
    <w:p>
      <w:pPr>
        <w:pStyle w:val="BodyText"/>
      </w:pPr>
      <w:r>
        <w:t xml:space="preserve">The splice junction of</w:t>
      </w:r>
      <w:r>
        <w:t xml:space="preserve"> </w:t>
      </w:r>
      <w:r>
        <w:rPr>
          <w:strike/>
        </w:rPr>
        <w:t xml:space="preserve">TRXPT_5 add trxpts from E2</w:t>
      </w:r>
      <w:r>
        <w:t xml:space="preserve"> </w:t>
      </w:r>
      <w:r>
        <w:t xml:space="preserve">were confirmed by cloning and Sanger sequencing of cDNA (</w:t>
      </w:r>
      <w:r>
        <w:rPr>
          <w:bCs/>
          <w:b/>
        </w:rPr>
        <w:t xml:space="preserve">supplementary PCR methods</w:t>
      </w:r>
      <w:r>
        <w:t xml:space="preserve">).</w:t>
      </w:r>
    </w:p>
    <w:p>
      <w:pPr>
        <w:pStyle w:val="BodyText"/>
      </w:pPr>
      <w:r>
        <w:rPr>
          <w:bCs/>
          <w:b/>
        </w:rPr>
        <w:t xml:space="preserve">Early Region 3 (E3) transcripts</w:t>
      </w:r>
      <w:r>
        <w:t xml:space="preserve">.</w:t>
      </w:r>
    </w:p>
    <w:p>
      <w:pPr>
        <w:pStyle w:val="BodyText"/>
      </w:pPr>
      <w:r>
        <w:rPr>
          <w:bCs/>
          <w:b/>
        </w:rPr>
        <w:t xml:space="preserve">Early Region 4 (E4) transcripts</w:t>
      </w:r>
      <w:r>
        <w:t xml:space="preserve">. This transcription unit (TU) is the found at the tail-end (3’-end) of the genome, on the reverse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reverse strand (</w:t>
      </w:r>
      <w:r>
        <w:rPr>
          <w:bCs/>
          <w:b/>
        </w:rPr>
        <w:t xml:space="preserve">Figure 8</w:t>
      </w:r>
      <w:r>
        <w:t xml:space="preserve">). The transcript (TRXPT_28) spans 25192-26247 and is spliced at 25701-26055; hence, a two-exon transcript. The second exon fully matches the predicted ORF8 with 12 extra base pairs at the 3’-end; however, the encoded protein is an exact match. There is a SSC in the first exon at position 26246 (second nucleotide of the transcript). The encoded protein from this SSC is in-frame with the SSC of ORF8 in the second exon; hence, the C-terminus of this longer protein (26.4 kDa, 229 aa) would be the identical to the predicted ORF8 protein.</w:t>
      </w:r>
      <w:r>
        <w:t xml:space="preserve"> </w:t>
      </w:r>
      <w:r>
        <w:rPr>
          <w:strike/>
        </w:rPr>
        <w:t xml:space="preserve">The splice junction of TRXPT_28 was validated by cloning and Sanger sequencing of cDNA (</w:t>
      </w:r>
      <w:r>
        <w:rPr>
          <w:bCs/>
          <w:b/>
          <w:strike/>
        </w:rPr>
        <w:t xml:space="preserve">supplementary PCR methods</w:t>
      </w:r>
      <w:r>
        <w:rPr>
          <w:strike/>
        </w:rPr>
        <w:t xml:space="preserve">).</w:t>
      </w:r>
    </w:p>
    <w:p>
      <w:pPr>
        <w:pStyle w:val="BodyText"/>
      </w:pPr>
      <w:r>
        <w:rPr>
          <w:bCs/>
          <w:b/>
        </w:rPr>
        <w:t xml:space="preserve">Major Late Promoter Region (MLP) transcripts</w:t>
      </w:r>
      <w:r>
        <w:t xml:space="preserve">.</w:t>
      </w:r>
      <w:r>
        <w:t xml:space="preserve"> </w:t>
      </w:r>
    </w:p>
    <w:bookmarkEnd w:id="24"/>
    <w:bookmarkStart w:id="25" w:name="discussionconclusions"/>
    <w:p>
      <w:pPr>
        <w:pStyle w:val="Heading2"/>
      </w:pPr>
      <w:r>
        <w:t xml:space="preserve">DISCUSSION/CONCLUSIONS</w:t>
      </w:r>
    </w:p>
    <w:p>
      <w:pPr>
        <w:pStyle w:val="FirstParagraph"/>
      </w:pPr>
      <w:r>
        <w:t xml:space="preserve">In the original study where the ORFs of THEV were predicted, ORF4 was predicted in the E1 region spanning the Hyd gene. However, later studies predicted and preferred Hyd instead of ORF4; hence, the current prediction map. However, this study shows that while both Hyd and ORF4 may be both expressed, ORF4 is most likely the bona fide gene.</w:t>
      </w:r>
      <w:r>
        <w:t xml:space="preserve"> </w:t>
      </w:r>
      <w:r>
        <w:t xml:space="preserve">For fig2a: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t xml:space="preserve">For fig2b: titer reaching a plateau at 120 h.p.i, probably due to high cell death</w:t>
      </w:r>
      <w:r>
        <w:t xml:space="preserve"> </w:t>
      </w:r>
      <w:r>
        <w:t xml:space="preserve">TRXPT_2 and ORF1 are isoforms</w:t>
      </w:r>
      <w:r>
        <w:t xml:space="preserve"> </w:t>
      </w:r>
      <w:r>
        <w:t xml:space="preserve">Presumeably, if the junction reads were normalized, MLP would not be predominant at 12hpi.</w:t>
      </w:r>
      <w:r>
        <w:t xml:space="preserve"> </w:t>
      </w:r>
    </w:p>
    <w:bookmarkEnd w:id="25"/>
    <w:bookmarkStart w:id="33" w:name="materials-and-methods"/>
    <w:p>
      <w:pPr>
        <w:pStyle w:val="Heading2"/>
      </w:pPr>
      <w:r>
        <w:t xml:space="preserve">MATERIALS AND METHODS</w:t>
      </w:r>
    </w:p>
    <w:bookmarkStart w:id="26"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 </w:t>
      </w:r>
      <w:r>
        <w:t xml:space="preserve">(26)</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 Still one more independent infection was done at time points ranging from 12 to 168-h.p.i for qPCR quantification of virus titers.</w:t>
      </w:r>
    </w:p>
    <w:bookmarkEnd w:id="26"/>
    <w:bookmarkStart w:id="27"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7"/>
    <w:bookmarkStart w:id="28"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had not been experimentally validated hitherto, and we identified additional novel exons, giving the complete picture of these transcripts. The novel splice junctions in this work discovered in the assembled transcripts using the</w:t>
      </w:r>
      <w:r>
        <w:t xml:space="preserve"> </w:t>
      </w:r>
      <w:r>
        <w:rPr>
          <w:rStyle w:val="VerbatimChar"/>
        </w:rPr>
        <w:t xml:space="preserve">StringTie</w:t>
      </w:r>
      <w:r>
        <w:t xml:space="preserve"> </w:t>
      </w:r>
      <w:r>
        <w:t xml:space="preserve">transcript assembler which we validated by PCR and Sanger Sequencing are shown in supplementary PCR methods Table 1. Briefly, we designed primers that crossed a range of novel exon–exon boundaries for each specific transcript in a transcription unit (TU) paired with their respective universal primers for the TU (~~supplementary PCR methods). Each forward primer contained a KpnI restriction site and reverse primers, an XbaI site. After first-strand cDNA synthesis with SuperScript™ III First-Strand Synthesis System, these primers were used in a targeted PCR amplification, the products analyzed with agarose gel electrophoresis to confirm expected band sizes, cloned by traditional restriction enzyme method, and Sanger sequenced to validate these splice junctions at the sequence level.</w:t>
      </w:r>
    </w:p>
    <w:bookmarkEnd w:id="28"/>
    <w:bookmarkStart w:id="29" w:name="rapid-amplification-of-cdna-ends-3-race"/>
    <w:p>
      <w:pPr>
        <w:pStyle w:val="Heading3"/>
      </w:pPr>
      <w:r>
        <w:t xml:space="preserve">3’ Rapid Amplification of cDNA Ends (3’-RACE)</w:t>
      </w:r>
    </w:p>
    <w:p>
      <w:pPr>
        <w:pStyle w:val="FirstParagraph"/>
      </w:pPr>
      <w:r>
        <w:t xml:space="preserve">We performed a rapid amplification of sequences from the 3’ ends of mRNAs (3’-RACE) experiment using a portion of the extracted total RNA of infected MDTC-RP19 cells used for the RNA-seq experiment as explained above. We followed the protocol described by Green</w:t>
      </w:r>
      <w:r>
        <w:t xml:space="preserve"> </w:t>
      </w:r>
      <w:r>
        <w:rPr>
          <w:iCs/>
          <w:i/>
        </w:rPr>
        <w:t xml:space="preserve">et al</w:t>
      </w:r>
      <w:r>
        <w:t xml:space="preserve"> </w:t>
      </w:r>
      <w:r>
        <w:t xml:space="preserve">(27)</w:t>
      </w:r>
      <w:r>
        <w:t xml:space="preserve"> </w:t>
      </w:r>
      <w:r>
        <w:t xml:space="preserve">with modifications. Briefly, 1ug of total RNA was reverse transcribed to cDNA using SuperScript™ IV First-Strand Synthesis System following the manufacturing instructions using an adapter–primer with a 3’-end poly(T) and a 5’-end BamHI restriction site. A gene-specific sense primer with a 5’-end KpnI restriction site paired with an anti-sense adapter-primer with a 5’-end BamHI site were used to amplify target sections of the cDNA using Invitrogen’s Platinum™ Taq DNA polymerase High Fidelity, following manufacturer’s instructions. The PCR amplicons were restriction digested, cloned, and Sanger sequenced.</w:t>
      </w:r>
    </w:p>
    <w:bookmarkEnd w:id="29"/>
    <w:bookmarkStart w:id="32"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(28)</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30">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31">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 m. aining the predicted ORFs of THEV as a guide. A custom script was used to consolidate all transcripts from all time-points without redundancy, generating the final transcriptome of THEV.</w:t>
      </w:r>
      <w:r>
        <w:t xml:space="preserve"> </w:t>
      </w:r>
    </w:p>
    <w:bookmarkEnd w:id="32"/>
    <w:bookmarkEnd w:id="33"/>
    <w:bookmarkStart w:id="37"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6" w:name="code-availability"/>
    <w:p>
      <w:pPr>
        <w:pStyle w:val="Heading3"/>
      </w:pPr>
      <w:r>
        <w:t xml:space="preserve">CODE AVAILABILITY</w:t>
      </w:r>
    </w:p>
    <w:p>
      <w:pPr>
        <w:pStyle w:val="FirstParagraph"/>
      </w:pPr>
      <w:r>
        <w:t xml:space="preserve">All the code/scripts written for analysis of the data are available on github (</w:t>
      </w:r>
      <w:hyperlink r:id="rId35">
        <w:r>
          <w:rPr>
            <w:rStyle w:val="Hyperlink"/>
          </w:rPr>
          <w:t xml:space="preserve">https://github.com/Abraham-Quaye/thev_transcriptome</w:t>
        </w:r>
      </w:hyperlink>
      <w:r>
        <w:t xml:space="preserve">)</w:t>
      </w:r>
      <w:r>
        <w:t xml:space="preserve"> </w:t>
      </w:r>
    </w:p>
    <w:bookmarkEnd w:id="36"/>
    <w:bookmarkEnd w:id="37"/>
    <w:bookmarkStart w:id="38" w:name="acknowledgments"/>
    <w:p>
      <w:pPr>
        <w:pStyle w:val="Heading2"/>
      </w:pPr>
      <w:r>
        <w:t xml:space="preserve">ACKNOWLEDGMENTS</w:t>
      </w:r>
    </w:p>
    <w:p>
      <w:pPr>
        <w:pStyle w:val="FirstParagraph"/>
      </w:pPr>
      <w:r>
        <w:rPr>
          <w:rStyle w:val="VerbatimChar"/>
        </w:rPr>
        <w:t xml:space="preserve">LC Sciences</w:t>
      </w:r>
      <w:r>
        <w:t xml:space="preserve"> </w:t>
      </w:r>
      <w:r>
        <w:t xml:space="preserve">- RNA sequencing was done here</w:t>
      </w:r>
      <w:r>
        <w:t xml:space="preserve"> </w:t>
      </w:r>
      <w:r>
        <w:rPr>
          <w:rStyle w:val="VerbatimChar"/>
        </w:rPr>
        <w:t xml:space="preserve">Eton Bioscience, Inc, San Diego, CA</w:t>
      </w:r>
      <w:r>
        <w:t xml:space="preserve"> </w:t>
      </w:r>
      <w:r>
        <w:t xml:space="preserve">- All Sanger sequencing validations was done here</w:t>
      </w:r>
      <w:r>
        <w:t xml:space="preserve"> </w:t>
      </w:r>
    </w:p>
    <w:bookmarkEnd w:id="38"/>
    <w:bookmarkStart w:id="93" w:name="references"/>
    <w:p>
      <w:pPr>
        <w:pStyle w:val="Heading2"/>
      </w:pPr>
      <w:r>
        <w:t xml:space="preserve">REFERENCES</w:t>
      </w:r>
    </w:p>
    <w:p>
      <w:pPr>
        <w:pStyle w:val="FirstParagraph"/>
      </w:pPr>
    </w:p>
    <w:bookmarkStart w:id="92" w:name="refs"/>
    <w:bookmarkStart w:id="40" w:name="ref-Davison2003"/>
    <w:p>
      <w:pPr>
        <w:pStyle w:val="Bibliography"/>
      </w:pPr>
      <w:r>
        <w:t xml:space="preserve">1.</w:t>
      </w:r>
      <w:r>
        <w:t xml:space="preserve"> </w:t>
      </w:r>
      <w:r>
        <w:t xml:space="preserve">	</w:t>
      </w:r>
      <w:r>
        <w:t xml:space="preserve">Davison A, Benko M, Harrach B. 2003.</w:t>
      </w:r>
      <w:r>
        <w:t xml:space="preserve"> </w:t>
      </w:r>
      <w:hyperlink r:id="rId39">
        <w:r>
          <w:rPr>
            <w:rStyle w:val="Hyperlink"/>
          </w:rPr>
          <w:t xml:space="preserve">Genetic content and evolution of adenoviruses</w:t>
        </w:r>
      </w:hyperlink>
      <w:r>
        <w:t xml:space="preserve">. The Journal of general virology 84:2895–908.</w:t>
      </w:r>
    </w:p>
    <w:bookmarkEnd w:id="40"/>
    <w:bookmarkStart w:id="42" w:name="ref-Harrach2008"/>
    <w:p>
      <w:pPr>
        <w:pStyle w:val="Bibliography"/>
      </w:pPr>
      <w:r>
        <w:t xml:space="preserve">2.</w:t>
      </w:r>
      <w:r>
        <w:t xml:space="preserve"> </w:t>
      </w:r>
      <w:r>
        <w:t xml:space="preserve">	</w:t>
      </w:r>
      <w:r>
        <w:t xml:space="preserve">Harrach B. 2008.</w:t>
      </w:r>
      <w:r>
        <w:t xml:space="preserve"> </w:t>
      </w:r>
      <w:hyperlink r:id="rId41">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2"/>
    <w:bookmarkStart w:id="44" w:name="ref-Upton2003"/>
    <w:p>
      <w:pPr>
        <w:pStyle w:val="Bibliography"/>
      </w:pPr>
      <w:r>
        <w:t xml:space="preserve">3.</w:t>
      </w:r>
      <w:r>
        <w:t xml:space="preserve"> </w:t>
      </w:r>
      <w:r>
        <w:t xml:space="preserve">	</w:t>
      </w:r>
      <w:r>
        <w:t xml:space="preserve">Upton C, Slack S, Hunter AL, Ehlers A, Roper RL. 2003.</w:t>
      </w:r>
      <w:r>
        <w:t xml:space="preserve"> </w:t>
      </w:r>
      <w:hyperlink r:id="rId43">
        <w:r>
          <w:rPr>
            <w:rStyle w:val="Hyperlink"/>
          </w:rPr>
          <w:t xml:space="preserve">Poxvirus orthologous clusters: Toward defining the minimum essential poxvirus genome</w:t>
        </w:r>
      </w:hyperlink>
      <w:r>
        <w:t xml:space="preserve">. Journal of virology 77:7590–7600.</w:t>
      </w:r>
    </w:p>
    <w:bookmarkEnd w:id="44"/>
    <w:bookmarkStart w:id="46" w:name="ref-McGeoch1999"/>
    <w:p>
      <w:pPr>
        <w:pStyle w:val="Bibliography"/>
      </w:pPr>
      <w:r>
        <w:t xml:space="preserve">4.</w:t>
      </w:r>
      <w:r>
        <w:t xml:space="preserve"> </w:t>
      </w:r>
      <w:r>
        <w:t xml:space="preserve">	</w:t>
      </w:r>
      <w:r>
        <w:t xml:space="preserve">McGeoch D, Davison AJ. 1999.</w:t>
      </w:r>
      <w:r>
        <w:t xml:space="preserve"> </w:t>
      </w:r>
      <w:hyperlink r:id="rId45">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6"/>
    <w:bookmarkStart w:id="47"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7"/>
    <w:bookmarkStart w:id="49" w:name="ref-Guimet2016"/>
    <w:p>
      <w:pPr>
        <w:pStyle w:val="Bibliography"/>
      </w:pPr>
      <w:r>
        <w:t xml:space="preserve">6.</w:t>
      </w:r>
      <w:r>
        <w:t xml:space="preserve"> </w:t>
      </w:r>
      <w:r>
        <w:t xml:space="preserve">	</w:t>
      </w:r>
      <w:r>
        <w:t xml:space="preserve">Guimet D, Hearing P. 2016.</w:t>
      </w:r>
      <w:r>
        <w:t xml:space="preserve"> </w:t>
      </w:r>
      <w:hyperlink r:id="rId48">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9"/>
    <w:bookmarkStart w:id="51" w:name="ref-Kovács2011"/>
    <w:p>
      <w:pPr>
        <w:pStyle w:val="Bibliography"/>
      </w:pPr>
      <w:r>
        <w:t xml:space="preserve">7.</w:t>
      </w:r>
      <w:r>
        <w:t xml:space="preserve"> </w:t>
      </w:r>
      <w:r>
        <w:t xml:space="preserve">	</w:t>
      </w:r>
      <w:r>
        <w:t xml:space="preserve">Kovács ER, Benkő M. 2011.</w:t>
      </w:r>
      <w:r>
        <w:t xml:space="preserve"> </w:t>
      </w:r>
      <w:hyperlink r:id="rId50">
        <w:r>
          <w:rPr>
            <w:rStyle w:val="Hyperlink"/>
          </w:rPr>
          <w:t xml:space="preserve">Complete sequence of raptor adenovirus 1 confirms the characteristic genome organization of siadenoviruses</w:t>
        </w:r>
      </w:hyperlink>
      <w:r>
        <w:t xml:space="preserve">. Infection, Genetics and Evolution 11:1058–1065.</w:t>
      </w:r>
    </w:p>
    <w:bookmarkEnd w:id="51"/>
    <w:bookmarkStart w:id="53" w:name="ref-Davison2000"/>
    <w:p>
      <w:pPr>
        <w:pStyle w:val="Bibliography"/>
      </w:pPr>
      <w:r>
        <w:t xml:space="preserve">8.</w:t>
      </w:r>
      <w:r>
        <w:t xml:space="preserve"> </w:t>
      </w:r>
      <w:r>
        <w:t xml:space="preserve">	</w:t>
      </w:r>
      <w:r>
        <w:t xml:space="preserve">Davison AJ, Wright KM, Harrach B. 2000.</w:t>
      </w:r>
      <w:r>
        <w:t xml:space="preserve"> </w:t>
      </w:r>
      <w:hyperlink r:id="rId52">
        <w:r>
          <w:rPr>
            <w:rStyle w:val="Hyperlink"/>
          </w:rPr>
          <w:t xml:space="preserve">DNA sequence of frog adenovirus</w:t>
        </w:r>
      </w:hyperlink>
      <w:r>
        <w:t xml:space="preserve">. J Gen Virol 81:2431–2439.</w:t>
      </w:r>
    </w:p>
    <w:bookmarkEnd w:id="53"/>
    <w:bookmarkStart w:id="55" w:name="ref-Kovács2010"/>
    <w:p>
      <w:pPr>
        <w:pStyle w:val="Bibliography"/>
      </w:pPr>
      <w:r>
        <w:t xml:space="preserve">9.</w:t>
      </w:r>
      <w:r>
        <w:t xml:space="preserve"> </w:t>
      </w:r>
      <w:r>
        <w:t xml:space="preserve">	</w:t>
      </w:r>
      <w:r>
        <w:t xml:space="preserve">Kovács ER, Jánoska M, Dán Á, Harrach B, Benkő M. 2010.</w:t>
      </w:r>
      <w:r>
        <w:t xml:space="preserve"> </w:t>
      </w:r>
      <w:hyperlink r:id="rId54">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5"/>
    <w:bookmarkStart w:id="57" w:name="ref-Katoh2009"/>
    <w:p>
      <w:pPr>
        <w:pStyle w:val="Bibliography"/>
      </w:pPr>
      <w:r>
        <w:t xml:space="preserve">10.</w:t>
      </w:r>
      <w:r>
        <w:t xml:space="preserve"> </w:t>
      </w:r>
      <w:r>
        <w:t xml:space="preserve">	</w:t>
      </w:r>
      <w:r>
        <w:t xml:space="preserve">Katoh H, Ohya K, Kubo M, Murata K, Yanai T, Fukushi H. 2009.</w:t>
      </w:r>
      <w:r>
        <w:t xml:space="preserve"> </w:t>
      </w:r>
      <w:hyperlink r:id="rId56">
        <w:r>
          <w:rPr>
            <w:rStyle w:val="Hyperlink"/>
          </w:rPr>
          <w:t xml:space="preserve">A novel budgerigar-adenovirus belonging to group II avian adenovirus of siadenovirus</w:t>
        </w:r>
      </w:hyperlink>
      <w:r>
        <w:t xml:space="preserve">. Virus Research 144:294–297.</w:t>
      </w:r>
    </w:p>
    <w:bookmarkEnd w:id="57"/>
    <w:bookmarkStart w:id="59" w:name="ref-Beach2006"/>
    <w:p>
      <w:pPr>
        <w:pStyle w:val="Bibliography"/>
      </w:pPr>
      <w:r>
        <w:t xml:space="preserve">11.</w:t>
      </w:r>
      <w:r>
        <w:t xml:space="preserve"> </w:t>
      </w:r>
      <w:r>
        <w:t xml:space="preserve">	</w:t>
      </w:r>
      <w:r>
        <w:t xml:space="preserve">Beach NM. 2006.</w:t>
      </w:r>
      <w:r>
        <w:t xml:space="preserve"> </w:t>
      </w:r>
      <w:hyperlink r:id="rId58">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9"/>
    <w:bookmarkStart w:id="61"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60">
        <w:r>
          <w:rPr>
            <w:rStyle w:val="Hyperlink"/>
          </w:rPr>
          <w:t xml:space="preserve">Comparison of 12 turkey hemorrhagic enteritis virus isolates allows prediction of genetic factors affecting virulence</w:t>
        </w:r>
      </w:hyperlink>
      <w:r>
        <w:t xml:space="preserve">. J Gen Virol 90:1978–85.</w:t>
      </w:r>
    </w:p>
    <w:bookmarkEnd w:id="61"/>
    <w:bookmarkStart w:id="62" w:name="ref-Gross1967"/>
    <w:p>
      <w:pPr>
        <w:pStyle w:val="Bibliography"/>
      </w:pPr>
      <w:r>
        <w:t xml:space="preserve">13.</w:t>
      </w:r>
      <w:r>
        <w:t xml:space="preserve"> </w:t>
      </w:r>
      <w:r>
        <w:t xml:space="preserve">	</w:t>
      </w:r>
      <w:r>
        <w:t xml:space="preserve">Gross WB, Moore WE. 1967. Hemorrhagic enteritis of turkeys. Avian Dis 11:296–307.</w:t>
      </w:r>
    </w:p>
    <w:bookmarkEnd w:id="62"/>
    <w:bookmarkStart w:id="64" w:name="ref-Rautenschlein2000"/>
    <w:p>
      <w:pPr>
        <w:pStyle w:val="Bibliography"/>
      </w:pPr>
      <w:r>
        <w:t xml:space="preserve">14.</w:t>
      </w:r>
      <w:r>
        <w:t xml:space="preserve"> </w:t>
      </w:r>
      <w:r>
        <w:t xml:space="preserve">	</w:t>
      </w:r>
      <w:r>
        <w:t xml:space="preserve">Rautenschlein S, Sharma JM. 2000.</w:t>
      </w:r>
      <w:r>
        <w:t xml:space="preserve"> </w:t>
      </w:r>
      <w:hyperlink r:id="rId63">
        <w:r>
          <w:rPr>
            <w:rStyle w:val="Hyperlink"/>
          </w:rPr>
          <w:t xml:space="preserve">Immunopathogenesis of haemorrhagic enteritis virus (HEV) in turkeys</w:t>
        </w:r>
      </w:hyperlink>
      <w:r>
        <w:t xml:space="preserve">. Dev Comp Immunol 24:237–46.</w:t>
      </w:r>
    </w:p>
    <w:bookmarkEnd w:id="64"/>
    <w:bookmarkStart w:id="65"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5"/>
    <w:bookmarkStart w:id="67"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6">
        <w:r>
          <w:rPr>
            <w:rStyle w:val="Hyperlink"/>
          </w:rPr>
          <w:t xml:space="preserve">Haemorrhagic enteritis of turkeys – current knowledge</w:t>
        </w:r>
      </w:hyperlink>
      <w:r>
        <w:t xml:space="preserve">. Veterinary Quarterly 37:31–42.</w:t>
      </w:r>
    </w:p>
    <w:bookmarkEnd w:id="67"/>
    <w:bookmarkStart w:id="69"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8">
        <w:r>
          <w:rPr>
            <w:rStyle w:val="Hyperlink"/>
          </w:rPr>
          <w:t xml:space="preserve">Deep splicing plasticity of the human adenovirus type 5 transcriptome drives virus evolution</w:t>
        </w:r>
      </w:hyperlink>
      <w:r>
        <w:t xml:space="preserve">. Communications Biology 3:124.</w:t>
      </w:r>
    </w:p>
    <w:bookmarkEnd w:id="69"/>
    <w:bookmarkStart w:id="71" w:name="ref-Zhao2014"/>
    <w:p>
      <w:pPr>
        <w:pStyle w:val="Bibliography"/>
      </w:pPr>
      <w:r>
        <w:t xml:space="preserve">18.</w:t>
      </w:r>
      <w:r>
        <w:t xml:space="preserve"> </w:t>
      </w:r>
      <w:r>
        <w:t xml:space="preserve">	</w:t>
      </w:r>
      <w:r>
        <w:t xml:space="preserve">Zhao H, Chen M, Pettersson U. 2014.</w:t>
      </w:r>
      <w:r>
        <w:t xml:space="preserve"> </w:t>
      </w:r>
      <w:hyperlink r:id="rId70">
        <w:r>
          <w:rPr>
            <w:rStyle w:val="Hyperlink"/>
          </w:rPr>
          <w:t xml:space="preserve">A new look at adenovirus splicing</w:t>
        </w:r>
      </w:hyperlink>
      <w:r>
        <w:t xml:space="preserve">. Virology 456-457:329–341.</w:t>
      </w:r>
    </w:p>
    <w:bookmarkEnd w:id="71"/>
    <w:bookmarkStart w:id="73" w:name="ref-Wolfrum2013"/>
    <w:p>
      <w:pPr>
        <w:pStyle w:val="Bibliography"/>
      </w:pPr>
      <w:r>
        <w:t xml:space="preserve">19.</w:t>
      </w:r>
      <w:r>
        <w:t xml:space="preserve"> </w:t>
      </w:r>
      <w:r>
        <w:t xml:space="preserve">	</w:t>
      </w:r>
      <w:r>
        <w:t xml:space="preserve">Wolfrum N, Greber UF. 2013.</w:t>
      </w:r>
      <w:r>
        <w:t xml:space="preserve"> </w:t>
      </w:r>
      <w:hyperlink r:id="rId72">
        <w:r>
          <w:rPr>
            <w:rStyle w:val="Hyperlink"/>
          </w:rPr>
          <w:t xml:space="preserve">Adenovirus signalling in entry</w:t>
        </w:r>
      </w:hyperlink>
      <w:r>
        <w:t xml:space="preserve">. Cell Microbiol 15:53–62.</w:t>
      </w:r>
    </w:p>
    <w:bookmarkEnd w:id="73"/>
    <w:bookmarkStart w:id="75" w:name="ref-Falvey1983"/>
    <w:p>
      <w:pPr>
        <w:pStyle w:val="Bibliography"/>
      </w:pPr>
      <w:r>
        <w:t xml:space="preserve">20.</w:t>
      </w:r>
      <w:r>
        <w:t xml:space="preserve"> </w:t>
      </w:r>
      <w:r>
        <w:t xml:space="preserve">	</w:t>
      </w:r>
      <w:r>
        <w:t xml:space="preserve">Falvey E, Ziff E. 1983.</w:t>
      </w:r>
      <w:r>
        <w:t xml:space="preserve"> </w:t>
      </w:r>
      <w:hyperlink r:id="rId74">
        <w:r>
          <w:rPr>
            <w:rStyle w:val="Hyperlink"/>
          </w:rPr>
          <w:t xml:space="preserve">Sequence arrangement and protein coding capacity of the adenovirus type 2 "i" leader</w:t>
        </w:r>
      </w:hyperlink>
      <w:r>
        <w:t xml:space="preserve">. Journal of Virology 45:185–191.</w:t>
      </w:r>
    </w:p>
    <w:bookmarkEnd w:id="75"/>
    <w:bookmarkStart w:id="77"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6">
        <w:r>
          <w:rPr>
            <w:rStyle w:val="Hyperlink"/>
          </w:rPr>
          <w:t xml:space="preserve">Landscape of transcription in human cells</w:t>
        </w:r>
      </w:hyperlink>
      <w:r>
        <w:t xml:space="preserve">. Nature 489:101–108.</w:t>
      </w:r>
    </w:p>
    <w:bookmarkEnd w:id="77"/>
    <w:bookmarkStart w:id="79" w:name="ref-Aboezz2019"/>
    <w:p>
      <w:pPr>
        <w:pStyle w:val="Bibliography"/>
      </w:pPr>
      <w:r>
        <w:t xml:space="preserve">22.</w:t>
      </w:r>
      <w:r>
        <w:t xml:space="preserve"> </w:t>
      </w:r>
      <w:r>
        <w:t xml:space="preserve">	</w:t>
      </w:r>
      <w:r>
        <w:t xml:space="preserve">Aboezz Z, Mahsoub H, El-Bagoury G, Pierson F. 2019.</w:t>
      </w:r>
      <w:r>
        <w:t xml:space="preserve"> </w:t>
      </w:r>
      <w:hyperlink r:id="rId78">
        <w:r>
          <w:rPr>
            <w:rStyle w:val="Hyperlink"/>
          </w:rPr>
          <w:t xml:space="preserve">In vitro growth kinetics and gene expression analysis of the turkey adenovirus 3, a siadenovirus</w:t>
        </w:r>
      </w:hyperlink>
      <w:r>
        <w:t xml:space="preserve">. Virus Research 263:47–54.</w:t>
      </w:r>
    </w:p>
    <w:bookmarkEnd w:id="79"/>
    <w:bookmarkStart w:id="81" w:name="ref-Pertea2016"/>
    <w:p>
      <w:pPr>
        <w:pStyle w:val="Bibliography"/>
      </w:pPr>
      <w:r>
        <w:t xml:space="preserve">23.</w:t>
      </w:r>
      <w:r>
        <w:t xml:space="preserve"> </w:t>
      </w:r>
      <w:r>
        <w:t xml:space="preserve">	</w:t>
      </w:r>
      <w:r>
        <w:t xml:space="preserve">Pertea M, Kim D, Pertea GM, Leek JT, Salzberg SL. 2016.</w:t>
      </w:r>
      <w:r>
        <w:t xml:space="preserve"> </w:t>
      </w:r>
      <w:hyperlink r:id="rId80">
        <w:r>
          <w:rPr>
            <w:rStyle w:val="Hyperlink"/>
          </w:rPr>
          <w:t xml:space="preserve">Transcript-level expression analysis of RNA-seq experiments with HISAT, StringTie and ballgown</w:t>
        </w:r>
      </w:hyperlink>
      <w:r>
        <w:t xml:space="preserve">. Nature Protocols 11:1650–1667.</w:t>
      </w:r>
    </w:p>
    <w:bookmarkEnd w:id="81"/>
    <w:bookmarkStart w:id="83" w:name="ref-Ballgown"/>
    <w:p>
      <w:pPr>
        <w:pStyle w:val="Bibliography"/>
      </w:pPr>
      <w:r>
        <w:t xml:space="preserve">24.</w:t>
      </w:r>
      <w:r>
        <w:t xml:space="preserve"> </w:t>
      </w:r>
      <w:r>
        <w:t xml:space="preserve">	</w:t>
      </w:r>
      <w:r>
        <w:t xml:space="preserve">Jack Fu [Aut], Alyssa C. Frazee [Aut, Cre], LeonardoCollado-Torres [Aut], Andrew E. Jaffe [Aut], Jeffrey T. Leek[Aut, Ths]. 2017.</w:t>
      </w:r>
      <w:r>
        <w:t xml:space="preserve"> </w:t>
      </w:r>
      <w:hyperlink r:id="rId82">
        <w:r>
          <w:rPr>
            <w:rStyle w:val="Hyperlink"/>
          </w:rPr>
          <w:t xml:space="preserve">Ballgown</w:t>
        </w:r>
      </w:hyperlink>
      <w:r>
        <w:t xml:space="preserve">. Bioconductor.</w:t>
      </w:r>
    </w:p>
    <w:bookmarkEnd w:id="83"/>
    <w:bookmarkStart w:id="85" w:name="ref-Pitcovski1998"/>
    <w:p>
      <w:pPr>
        <w:pStyle w:val="Bibliography"/>
      </w:pPr>
      <w:r>
        <w:t xml:space="preserve">25.</w:t>
      </w:r>
      <w:r>
        <w:t xml:space="preserve"> </w:t>
      </w:r>
      <w:r>
        <w:t xml:space="preserve">	</w:t>
      </w:r>
      <w:r>
        <w:t xml:space="preserve">Pitcovski J, Mualem M, Rei-Koren Z, Krispel S, Shmueli E, Peretz Y, Gutter B, Gallili GE, Michael A, Goldberg D. 1998.</w:t>
      </w:r>
      <w:r>
        <w:t xml:space="preserve"> </w:t>
      </w:r>
      <w:hyperlink r:id="rId84">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5"/>
    <w:bookmarkStart w:id="87" w:name="ref-Mahsoub2017"/>
    <w:p>
      <w:pPr>
        <w:pStyle w:val="Bibliography"/>
      </w:pPr>
      <w:r>
        <w:t xml:space="preserve">26.</w:t>
      </w:r>
      <w:r>
        <w:t xml:space="preserve"> </w:t>
      </w:r>
      <w:r>
        <w:t xml:space="preserve">	</w:t>
      </w:r>
      <w:r>
        <w:t xml:space="preserve">Mahsoub HM, Evans NP, Beach NM, Yuan L, Zimmerman K, Pierson FW. 2017.</w:t>
      </w:r>
      <w:r>
        <w:t xml:space="preserve"> </w:t>
      </w:r>
      <w:hyperlink r:id="rId86">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7"/>
    <w:bookmarkStart w:id="89" w:name="ref-Green2019"/>
    <w:p>
      <w:pPr>
        <w:pStyle w:val="Bibliography"/>
      </w:pPr>
      <w:r>
        <w:t xml:space="preserve">27.</w:t>
      </w:r>
      <w:r>
        <w:t xml:space="preserve"> </w:t>
      </w:r>
      <w:r>
        <w:t xml:space="preserve">	</w:t>
      </w:r>
      <w:r>
        <w:t xml:space="preserve">Green MR, Sambrook J. 2019.</w:t>
      </w:r>
      <w:r>
        <w:t xml:space="preserve"> </w:t>
      </w:r>
      <w:hyperlink r:id="rId88">
        <w:r>
          <w:rPr>
            <w:rStyle w:val="Hyperlink"/>
          </w:rPr>
          <w:t xml:space="preserve">Rapid amplification of sequences from the 3’ ends of mRNAs: 3’-RACE</w:t>
        </w:r>
      </w:hyperlink>
      <w:r>
        <w:t xml:space="preserve">. Cold Spring Harbor Protocols 2019:pdb.prot095216.</w:t>
      </w:r>
    </w:p>
    <w:bookmarkEnd w:id="89"/>
    <w:bookmarkStart w:id="91" w:name="ref-FastQC"/>
    <w:p>
      <w:pPr>
        <w:pStyle w:val="Bibliography"/>
      </w:pPr>
      <w:r>
        <w:t xml:space="preserve">28.</w:t>
      </w:r>
      <w:r>
        <w:t xml:space="preserve"> </w:t>
      </w:r>
      <w:r>
        <w:t xml:space="preserve">	</w:t>
      </w:r>
      <w:r>
        <w:t xml:space="preserve">2015.</w:t>
      </w:r>
      <w:r>
        <w:t xml:space="preserve"> </w:t>
      </w:r>
      <w:hyperlink r:id="rId90">
        <w:r>
          <w:rPr>
            <w:rStyle w:val="Hyperlink"/>
          </w:rPr>
          <w:t xml:space="preserve">FastQC</w:t>
        </w:r>
      </w:hyperlink>
      <w:r>
        <w:t xml:space="preserve">.</w:t>
      </w:r>
    </w:p>
    <w:bookmarkEnd w:id="91"/>
    <w:bookmarkEnd w:id="92"/>
    <w:bookmarkEnd w:id="93"/>
    <w:bookmarkStart w:id="121" w:name="tables-and-figures"/>
    <w:p>
      <w:pPr>
        <w:pStyle w:val="Heading2"/>
      </w:pPr>
      <w:r>
        <w:t xml:space="preserve">TABLES AND FIGURES</w:t>
      </w:r>
    </w:p>
    <w:p>
      <w:pPr>
        <w:pStyle w:val="FirstParagraph"/>
      </w:pPr>
      <w:r>
        <w:drawing>
          <wp:inline>
            <wp:extent cx="5334000" cy="3111499"/>
            <wp:effectExtent b="0" l="0" r="0" t="0"/>
            <wp:docPr descr="" title="" id="95" name="Picture"/>
            <a:graphic>
              <a:graphicData uri="http://schemas.openxmlformats.org/drawingml/2006/picture">
                <pic:pic>
                  <pic:nvPicPr>
                    <pic:cNvPr descr="results/r/figures/thev_orf_map.png" id="96" name="Picture"/>
                    <pic:cNvPicPr>
                      <a:picLocks noChangeArrowheads="1" noChangeAspect="1"/>
                    </pic:cNvPicPr>
                  </pic:nvPicPr>
                  <pic:blipFill>
                    <a:blip r:embed="rId94"/>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 annotated ORFs</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w:pPr>
        <w:pStyle w:val="BodyText"/>
      </w:pPr>
      <w:r>
        <w:drawing>
          <wp:inline>
            <wp:extent cx="5334000" cy="6096000"/>
            <wp:effectExtent b="0" l="0" r="0" t="0"/>
            <wp:docPr descr="" title="" id="98" name="Picture"/>
            <a:graphic>
              <a:graphicData uri="http://schemas.openxmlformats.org/drawingml/2006/picture">
                <pic:pic>
                  <pic:nvPicPr>
                    <pic:cNvPr descr="results/r/figures/fig_2.png" id="99" name="Picture"/>
                    <pic:cNvPicPr>
                      <a:picLocks noChangeArrowheads="1" noChangeAspect="1"/>
                    </pic:cNvPicPr>
                  </pic:nvPicPr>
                  <pic:blipFill>
                    <a:blip r:embed="rId97"/>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rPr>
          <w:bCs/>
          <w:b/>
        </w:rPr>
        <w:t xml:space="preserve">Figure 2: Increasing levels of THEV over time.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w:t>
      </w:r>
      <w:r>
        <w:t xml:space="preserve"> </w:t>
      </w:r>
      <w:r>
        <w:rPr>
          <w:bCs/>
          <w:b/>
        </w:rPr>
        <w:t xml:space="preserve">b)</w:t>
      </w:r>
      <w:r>
        <w:rPr>
          <w:bCs/>
          <w:b/>
        </w:rPr>
        <w:t xml:space="preserve"> </w:t>
      </w:r>
      <w:r>
        <w:rPr>
          <w:iCs/>
          <w:i/>
          <w:bCs/>
          <w:b/>
        </w:rPr>
        <w:t xml:space="preserve">Growth curve of THEV (VAS vaccine strain) in MDTC-RP19 cell line</w:t>
      </w:r>
      <w:r>
        <w:t xml:space="preserve">. Virus titers were a quantified with a qPCR assay. There is no discernible increase in virus titer up 12 h.p.i, after which there is a steady increase in virus titer is measured. The virus titer expands exponentially beginning from 48 h.p.i, increasing by orders of magnitude before reaching a plateau at 120 h.p.i. GCN: genome copy number.</w:t>
      </w:r>
    </w:p>
    <w:p>
      <w:r>
        <w:br w:type="page"/>
      </w:r>
    </w:p>
    <w:p>
      <w:pPr>
        <w:pStyle w:val="BodyText"/>
      </w:pPr>
      <w:r>
        <w:drawing>
          <wp:inline>
            <wp:extent cx="5334000" cy="3555999"/>
            <wp:effectExtent b="0" l="0" r="0" t="0"/>
            <wp:docPr descr="" title="" id="101" name="Picture"/>
            <a:graphic>
              <a:graphicData uri="http://schemas.openxmlformats.org/drawingml/2006/picture">
                <pic:pic>
                  <pic:nvPicPr>
                    <pic:cNvPr descr="results/r/figures/thev_spliced_map.png" id="102" name="Picture"/>
                    <pic:cNvPicPr>
                      <a:picLocks noChangeArrowheads="1" noChangeAspect="1"/>
                    </pic:cNvPicPr>
                  </pic:nvPicPr>
                  <pic:blipFill>
                    <a:blip r:embed="rId100"/>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4" name="Picture"/>
            <a:graphic>
              <a:graphicData uri="http://schemas.openxmlformats.org/drawingml/2006/picture">
                <pic:pic>
                  <pic:nvPicPr>
                    <pic:cNvPr descr="results/r/figures/thev_patched_timepoints_spliced_map.png" id="105" name="Picture"/>
                    <pic:cNvPicPr>
                      <a:picLocks noChangeArrowheads="1" noChangeAspect="1"/>
                    </pic:cNvPicPr>
                  </pic:nvPicPr>
                  <pic:blipFill>
                    <a:blip r:embed="rId103"/>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r>
        <w:t xml:space="preserve"> </w:t>
      </w:r>
    </w:p>
    <w:p>
      <w:pPr>
        <w:pStyle w:val="BodyText"/>
      </w:pPr>
      <w:r>
        <w:drawing>
          <wp:inline>
            <wp:extent cx="5334000" cy="3555999"/>
            <wp:effectExtent b="0" l="0" r="0" t="0"/>
            <wp:docPr descr="" title="" id="107" name="Picture"/>
            <a:graphic>
              <a:graphicData uri="http://schemas.openxmlformats.org/drawingml/2006/picture">
                <pic:pic>
                  <pic:nvPicPr>
                    <pic:cNvPr descr="results/r/figures/figure_4a_d.png" id="108" name="Picture"/>
                    <pic:cNvPicPr>
                      <a:picLocks noChangeArrowheads="1" noChangeAspect="1"/>
                    </pic:cNvPicPr>
                  </pic:nvPicPr>
                  <pic:blipFill>
                    <a:blip r:embed="rId106"/>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rPr>
          <w:bCs/>
          <w:b/>
        </w:rPr>
        <w:t xml:space="preserve">b)</w:t>
      </w:r>
      <w:r>
        <w:t xml:space="preserve"> </w:t>
      </w:r>
      <w:r>
        <w:t xml:space="preserve">Expression levels of transcripts by region over time.</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transcriptome.</w:t>
      </w:r>
      <w:r>
        <w:t xml:space="preserve"> </w:t>
      </w:r>
    </w:p>
    <w:p>
      <w:pPr>
        <w:pStyle w:val="BodyText"/>
      </w:pPr>
      <w:r>
        <w:drawing>
          <wp:inline>
            <wp:extent cx="5334000" cy="4741333"/>
            <wp:effectExtent b="0" l="0" r="0" t="0"/>
            <wp:docPr descr="" title="" id="110" name="Picture"/>
            <a:graphic>
              <a:graphicData uri="http://schemas.openxmlformats.org/drawingml/2006/picture">
                <pic:pic>
                  <pic:nvPicPr>
                    <pic:cNvPr descr="manuscript_thev_transcriptome_files/figure-docx/region-by-region_e1_figure-1.png" id="111" name="Picture"/>
                    <pic:cNvPicPr>
                      <a:picLocks noChangeArrowheads="1" noChangeAspect="1"/>
                    </pic:cNvPicPr>
                  </pic:nvPicPr>
                  <pic:blipFill>
                    <a:blip r:embed="rId109"/>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5: E1 region transcripts. a)</w:t>
      </w:r>
      <w:r>
        <w:t xml:space="preserve"> </w:t>
      </w:r>
      <w:r>
        <w:t xml:space="preserve">The splice map of the E1 transcription unit. Exons are depicted as boxes connected by introns (dotted lines). Transcripts from RNA-seq data are colored red, predicted ORFs are colored grey, and the full ORF1 transcript and previously annotated ORF4 are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4741333"/>
            <wp:effectExtent b="0" l="0" r="0" t="0"/>
            <wp:docPr descr="" title="" id="113" name="Picture"/>
            <a:graphic>
              <a:graphicData uri="http://schemas.openxmlformats.org/drawingml/2006/picture">
                <pic:pic>
                  <pic:nvPicPr>
                    <pic:cNvPr descr="manuscript_thev_transcriptome_files/figure-docx/region-by-region_e2andim_figure-1.png" id="114" name="Picture"/>
                    <pic:cNvPicPr>
                      <a:picLocks noChangeArrowheads="1" noChangeAspect="1"/>
                    </pic:cNvPicPr>
                  </pic:nvPicPr>
                  <pic:blipFill>
                    <a:blip r:embed="rId112"/>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6: E2 and IM region transcripts. a)</w:t>
      </w:r>
      <w:r>
        <w:t xml:space="preserve"> </w:t>
      </w:r>
      <w:r>
        <w:t xml:space="preserve">The splice map of the E1 and IM transcription units. Exons are depicted as boxes connected by introns (dotted lines). Red transcripts are generated from RNA-seq data and predicted ORFs are colored grey.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3333750"/>
            <wp:effectExtent b="0" l="0" r="0" t="0"/>
            <wp:docPr descr="" title="" id="116" name="Picture"/>
            <a:graphic>
              <a:graphicData uri="http://schemas.openxmlformats.org/drawingml/2006/picture">
                <pic:pic>
                  <pic:nvPicPr>
                    <pic:cNvPr descr="manuscript_thev_transcriptome_files/figure-docx/region-by-region_e4_figure-1.png" id="117" name="Picture"/>
                    <pic:cNvPicPr>
                      <a:picLocks noChangeArrowheads="1" noChangeAspect="1"/>
                    </pic:cNvPicPr>
                  </pic:nvPicPr>
                  <pic:blipFill>
                    <a:blip r:embed="rId11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Cs/>
          <w:b/>
        </w:rPr>
        <w:t xml:space="preserve">Figure 8: E4 region transcripts. a)</w:t>
      </w:r>
      <w:r>
        <w:t xml:space="preserve"> </w:t>
      </w:r>
      <w:r>
        <w:t xml:space="preserve">The splice map of the E4 transcription unit. 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 are indicated.</w:t>
      </w:r>
    </w:p>
    <w:p>
      <w:pPr>
        <w:pStyle w:val="BodyText"/>
      </w:pPr>
      <w:r>
        <w:drawing>
          <wp:inline>
            <wp:extent cx="5334000" cy="4741333"/>
            <wp:effectExtent b="0" l="0" r="0" t="0"/>
            <wp:docPr descr="" title="" id="119" name="Picture"/>
            <a:graphic>
              <a:graphicData uri="http://schemas.openxmlformats.org/drawingml/2006/picture">
                <pic:pic>
                  <pic:nvPicPr>
                    <pic:cNvPr descr="manuscript_thev_transcriptome_files/figure-docx/region-by-region_mlp_figure-1.png" id="120" name="Picture"/>
                    <pic:cNvPicPr>
                      <a:picLocks noChangeArrowheads="1" noChangeAspect="1"/>
                    </pic:cNvPicPr>
                  </pic:nvPicPr>
                  <pic:blipFill>
                    <a:blip r:embed="rId118"/>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9: MLP region transcripts. a)</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18,825 (16.4%)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17,670 (15.4%)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12,319 (10.7%)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10,583 (9.2%)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7,128 (6.2%)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6,619 (5.8%)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5,207 (4.5%)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3,930 (3.4%)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3,870 (3.4%)</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2,553 (2.2%)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2,446 (2.1%)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1,642 (1.4%)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1,395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10,910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1,391 (1.2%)</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1,124 (1%)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20,894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1,208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322,677 (15.1%)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179,607 (8.4%)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161,336 (7.6%)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146,425 (6.9%)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93,238 (4.4%)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81,420 (3.8%)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77,616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45,062 (2.1%)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38,491 (1.8%)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38,841 (1.8%)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35,490 (1.7%)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25,041 (1.2%)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26,338 (1.2%)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5,097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21,946 (1%)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21,891 (1%)</w:t>
            </w:r>
          </w:p>
        </w:tc>
      </w:tr>
    </w:tbl>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106" Target="media/rId106.png" /><Relationship Type="http://schemas.openxmlformats.org/officeDocument/2006/relationships/image" Id="rId94" Target="media/rId94.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6"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0"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8"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4" Target="https://doi.org/10.1006/viro.1998.9336" TargetMode="External" /><Relationship Type="http://schemas.openxmlformats.org/officeDocument/2006/relationships/hyperlink" Id="rId48" Target="https://doi.org/10.1016/B978-0-12-800276-6.00003-6" TargetMode="External" /><Relationship Type="http://schemas.openxmlformats.org/officeDocument/2006/relationships/hyperlink" Id="rId45" Target="https://doi.org/10.1016/B978-012220360-2/50018-0" TargetMode="External" /><Relationship Type="http://schemas.openxmlformats.org/officeDocument/2006/relationships/hyperlink" Id="rId41" Target="https://doi.org/10.1016/B978-012374410-4.00680-4" TargetMode="External" /><Relationship Type="http://schemas.openxmlformats.org/officeDocument/2006/relationships/hyperlink" Id="rId54" Target="https://doi.org/10.1016/j.jviromet.2009.10.007" TargetMode="External" /><Relationship Type="http://schemas.openxmlformats.org/officeDocument/2006/relationships/hyperlink" Id="rId86" Target="https://doi.org/10.1016/j.jviromet.2016.11.002" TargetMode="External" /><Relationship Type="http://schemas.openxmlformats.org/officeDocument/2006/relationships/hyperlink" Id="rId50" Target="https://doi.org/10.1016/j.meegid.2011.03.021" TargetMode="External" /><Relationship Type="http://schemas.openxmlformats.org/officeDocument/2006/relationships/hyperlink" Id="rId70" Target="https://doi.org/10.1016/j.virol.2014.04.006" TargetMode="External" /><Relationship Type="http://schemas.openxmlformats.org/officeDocument/2006/relationships/hyperlink" Id="rId56" Target="https://doi.org/10.1016/j.virusres.2009.04.012" TargetMode="External" /><Relationship Type="http://schemas.openxmlformats.org/officeDocument/2006/relationships/hyperlink" Id="rId63" Target="https://doi.org/10.1016/s0145-305x(99)00075-0" TargetMode="External" /><Relationship Type="http://schemas.openxmlformats.org/officeDocument/2006/relationships/hyperlink" Id="rId76" Target="https://doi.org/10.1038/nature11233" TargetMode="External" /><Relationship Type="http://schemas.openxmlformats.org/officeDocument/2006/relationships/hyperlink" Id="rId80" Target="https://doi.org/10.1038/nprot.2016.095" TargetMode="External" /><Relationship Type="http://schemas.openxmlformats.org/officeDocument/2006/relationships/hyperlink" Id="rId68" Target="https://doi.org/10.1038/s42003-020-0849-9" TargetMode="External" /><Relationship Type="http://schemas.openxmlformats.org/officeDocument/2006/relationships/hyperlink" Id="rId66" Target="https://doi.org/10.1080/01652176.2016.1277281" TargetMode="External" /><Relationship Type="http://schemas.openxmlformats.org/officeDocument/2006/relationships/hyperlink" Id="rId52" Target="https://doi.org/10.1099/0022-1317-81-10-2431" TargetMode="External" /><Relationship Type="http://schemas.openxmlformats.org/officeDocument/2006/relationships/hyperlink" Id="rId60" Target="https://doi.org/10.1099/vir.0.010090-0" TargetMode="External" /><Relationship Type="http://schemas.openxmlformats.org/officeDocument/2006/relationships/hyperlink" Id="rId39" Target="https://doi.org/10.1099/vir.0.19497-0" TargetMode="External" /><Relationship Type="http://schemas.openxmlformats.org/officeDocument/2006/relationships/hyperlink" Id="rId88" Target="https://doi.org/10.1101/pdb.prot095216" TargetMode="External" /><Relationship Type="http://schemas.openxmlformats.org/officeDocument/2006/relationships/hyperlink" Id="rId72" Target="https://doi.org/10.1111/cmi.12053" TargetMode="External" /><Relationship Type="http://schemas.openxmlformats.org/officeDocument/2006/relationships/hyperlink" Id="rId74" Target="https://doi.org/10.1128/jvi.45.1.185-191.1983" TargetMode="External" /><Relationship Type="http://schemas.openxmlformats.org/officeDocument/2006/relationships/hyperlink" Id="rId43" Target="https://doi.org/10.1128/jvi.77.13.7590-7600.2003" TargetMode="External" /><Relationship Type="http://schemas.openxmlformats.org/officeDocument/2006/relationships/hyperlink" Id="rId82" Target="https://doi.org/10.18129/B9.BIOC.BALLGOWN" TargetMode="External" /><Relationship Type="http://schemas.openxmlformats.org/officeDocument/2006/relationships/hyperlink" Id="rId35" Target="https://github.com/Abraham-Quaye/thev_transcriptome" TargetMode="External" /><Relationship Type="http://schemas.openxmlformats.org/officeDocument/2006/relationships/hyperlink" Id="rId90"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8"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2023-12-18T22:48:43Z</dcterms:created>
  <dcterms:modified xsi:type="dcterms:W3CDTF">2023-12-18T22:48:43Z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